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7096D" w14:textId="77777777" w:rsidR="00D40424" w:rsidRPr="00E05588" w:rsidRDefault="00D40424" w:rsidP="009D6332">
      <w:pPr>
        <w:pStyle w:val="FalkirkHeading1"/>
        <w:numPr>
          <w:ilvl w:val="0"/>
          <w:numId w:val="0"/>
        </w:numPr>
        <w:ind w:left="425" w:hanging="425"/>
        <w:rPr>
          <w:rFonts w:ascii="Noto Sans" w:hAnsi="Noto Sans" w:cs="Noto Sans"/>
          <w:color w:val="0070C0" w:themeColor="accent1"/>
        </w:rPr>
      </w:pPr>
    </w:p>
    <w:p w14:paraId="16D59D1C" w14:textId="4C7C59E9" w:rsidR="0091799C" w:rsidRPr="00E05588" w:rsidRDefault="00541202" w:rsidP="00541202">
      <w:pPr>
        <w:pStyle w:val="FalkirkHeading1"/>
        <w:numPr>
          <w:ilvl w:val="0"/>
          <w:numId w:val="0"/>
        </w:numPr>
        <w:ind w:left="425" w:hanging="425"/>
        <w:jc w:val="right"/>
        <w:rPr>
          <w:rFonts w:ascii="Noto Sans" w:hAnsi="Noto Sans" w:cs="Noto Sans"/>
          <w:color w:val="0070C0" w:themeColor="accent1"/>
          <w:sz w:val="40"/>
          <w:szCs w:val="40"/>
        </w:rPr>
      </w:pPr>
      <w:r>
        <w:rPr>
          <w:rFonts w:ascii="Noto Sans" w:hAnsi="Noto Sans" w:cs="Noto Sans"/>
          <w:noProof/>
          <w:color w:val="0070C0" w:themeColor="accent1"/>
          <w:sz w:val="40"/>
          <w:szCs w:val="40"/>
        </w:rPr>
        <w:drawing>
          <wp:inline distT="0" distB="0" distL="0" distR="0" wp14:anchorId="720E286D" wp14:editId="745D6128">
            <wp:extent cx="2146492" cy="1212850"/>
            <wp:effectExtent l="0" t="0" r="6350" b="6350"/>
            <wp:docPr id="96343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356" cy="1216163"/>
                    </a:xfrm>
                    <a:prstGeom prst="rect">
                      <a:avLst/>
                    </a:prstGeom>
                    <a:noFill/>
                  </pic:spPr>
                </pic:pic>
              </a:graphicData>
            </a:graphic>
          </wp:inline>
        </w:drawing>
      </w:r>
    </w:p>
    <w:p w14:paraId="4C07C600" w14:textId="77777777" w:rsidR="00933FBB" w:rsidRDefault="00933FBB" w:rsidP="002D458F">
      <w:pPr>
        <w:pStyle w:val="FalkirkHeading1"/>
        <w:numPr>
          <w:ilvl w:val="0"/>
          <w:numId w:val="0"/>
        </w:numPr>
        <w:rPr>
          <w:rFonts w:ascii="Noto Sans" w:hAnsi="Noto Sans" w:cs="Noto Sans"/>
          <w:color w:val="0070C0" w:themeColor="accent1"/>
          <w:sz w:val="32"/>
        </w:rPr>
      </w:pPr>
    </w:p>
    <w:p w14:paraId="7FC0DB80" w14:textId="77777777" w:rsidR="00933FBB" w:rsidRDefault="00933FBB" w:rsidP="002D458F">
      <w:pPr>
        <w:pStyle w:val="FalkirkHeading1"/>
        <w:numPr>
          <w:ilvl w:val="0"/>
          <w:numId w:val="0"/>
        </w:numPr>
        <w:rPr>
          <w:rFonts w:ascii="Noto Sans" w:hAnsi="Noto Sans" w:cs="Noto Sans"/>
          <w:color w:val="0070C0" w:themeColor="accent1"/>
          <w:sz w:val="32"/>
        </w:rPr>
      </w:pPr>
    </w:p>
    <w:p w14:paraId="4F54D054" w14:textId="77777777" w:rsidR="00933FBB" w:rsidRDefault="00933FBB" w:rsidP="002D458F">
      <w:pPr>
        <w:pStyle w:val="FalkirkHeading1"/>
        <w:numPr>
          <w:ilvl w:val="0"/>
          <w:numId w:val="0"/>
        </w:numPr>
        <w:rPr>
          <w:rFonts w:ascii="Noto Sans" w:hAnsi="Noto Sans" w:cs="Noto Sans"/>
          <w:color w:val="0070C0" w:themeColor="accent1"/>
          <w:sz w:val="32"/>
        </w:rPr>
      </w:pPr>
    </w:p>
    <w:p w14:paraId="6FFC29AE" w14:textId="77777777" w:rsidR="00541202" w:rsidRDefault="00541202" w:rsidP="006B67FB">
      <w:pPr>
        <w:pStyle w:val="FalkirkHeading1"/>
        <w:numPr>
          <w:ilvl w:val="0"/>
          <w:numId w:val="0"/>
        </w:numPr>
        <w:jc w:val="right"/>
        <w:rPr>
          <w:rFonts w:ascii="Noto Sans" w:hAnsi="Noto Sans" w:cs="Noto Sans"/>
          <w:color w:val="0070C0" w:themeColor="accent1"/>
          <w:sz w:val="32"/>
        </w:rPr>
      </w:pPr>
    </w:p>
    <w:p w14:paraId="1CE2AC02" w14:textId="3D653DAF" w:rsidR="006B67FB" w:rsidRDefault="00E05588" w:rsidP="006B67FB">
      <w:pPr>
        <w:pStyle w:val="FalkirkHeading1"/>
        <w:numPr>
          <w:ilvl w:val="0"/>
          <w:numId w:val="0"/>
        </w:numPr>
        <w:jc w:val="right"/>
        <w:rPr>
          <w:rFonts w:ascii="Noto Sans" w:hAnsi="Noto Sans" w:cs="Noto Sans"/>
          <w:color w:val="0070C0" w:themeColor="accent1"/>
          <w:sz w:val="32"/>
        </w:rPr>
      </w:pPr>
      <w:r w:rsidRPr="00E05588">
        <w:rPr>
          <w:rFonts w:ascii="Noto Sans" w:hAnsi="Noto Sans" w:cs="Noto Sans"/>
          <w:color w:val="0070C0" w:themeColor="accent1"/>
          <w:sz w:val="32"/>
        </w:rPr>
        <w:t>HOUSING REVENUE ACCOUNT</w:t>
      </w:r>
      <w:r w:rsidR="006B67FB">
        <w:rPr>
          <w:rFonts w:ascii="Noto Sans" w:hAnsi="Noto Sans" w:cs="Noto Sans"/>
          <w:color w:val="0070C0" w:themeColor="accent1"/>
          <w:sz w:val="32"/>
        </w:rPr>
        <w:t xml:space="preserve"> </w:t>
      </w:r>
      <w:r w:rsidRPr="00E05588">
        <w:rPr>
          <w:rFonts w:ascii="Noto Sans" w:hAnsi="Noto Sans" w:cs="Noto Sans"/>
          <w:color w:val="0070C0" w:themeColor="accent1"/>
          <w:sz w:val="32"/>
        </w:rPr>
        <w:t>(HRA</w:t>
      </w:r>
      <w:r w:rsidR="006B67FB">
        <w:rPr>
          <w:rFonts w:ascii="Noto Sans" w:hAnsi="Noto Sans" w:cs="Noto Sans"/>
          <w:color w:val="0070C0" w:themeColor="accent1"/>
          <w:sz w:val="32"/>
        </w:rPr>
        <w:t>)</w:t>
      </w:r>
    </w:p>
    <w:p w14:paraId="0CF0E29B" w14:textId="36723CAB" w:rsidR="00D40424" w:rsidRPr="006B67FB" w:rsidRDefault="005E6971" w:rsidP="006B67FB">
      <w:pPr>
        <w:pStyle w:val="FalkirkHeading1"/>
        <w:numPr>
          <w:ilvl w:val="0"/>
          <w:numId w:val="0"/>
        </w:numPr>
        <w:jc w:val="right"/>
        <w:rPr>
          <w:rFonts w:ascii="Noto Sans" w:hAnsi="Noto Sans" w:cs="Noto Sans"/>
          <w:color w:val="0070C0" w:themeColor="accent1"/>
          <w:sz w:val="40"/>
          <w:szCs w:val="40"/>
        </w:rPr>
      </w:pPr>
      <w:r w:rsidRPr="006B67FB">
        <w:rPr>
          <w:rFonts w:ascii="Noto Sans" w:hAnsi="Noto Sans" w:cs="Noto Sans"/>
          <w:color w:val="0070C0" w:themeColor="accent1"/>
          <w:sz w:val="40"/>
          <w:szCs w:val="40"/>
        </w:rPr>
        <w:t>BUSINESS</w:t>
      </w:r>
      <w:r w:rsidR="00E05588" w:rsidRPr="006B67FB">
        <w:rPr>
          <w:rFonts w:ascii="Noto Sans" w:hAnsi="Noto Sans" w:cs="Noto Sans"/>
          <w:color w:val="0070C0" w:themeColor="accent1"/>
          <w:sz w:val="40"/>
          <w:szCs w:val="40"/>
        </w:rPr>
        <w:t xml:space="preserve"> PLAN </w:t>
      </w:r>
      <w:r w:rsidR="00A30FB4" w:rsidRPr="006B67FB">
        <w:rPr>
          <w:rFonts w:ascii="Noto Sans" w:hAnsi="Noto Sans" w:cs="Noto Sans"/>
          <w:color w:val="0070C0" w:themeColor="accent1"/>
          <w:sz w:val="40"/>
          <w:szCs w:val="40"/>
        </w:rPr>
        <w:t>202</w:t>
      </w:r>
      <w:r w:rsidR="00A30FB4">
        <w:rPr>
          <w:rFonts w:ascii="Noto Sans" w:hAnsi="Noto Sans" w:cs="Noto Sans"/>
          <w:color w:val="0070C0" w:themeColor="accent1"/>
          <w:sz w:val="40"/>
          <w:szCs w:val="40"/>
        </w:rPr>
        <w:t xml:space="preserve">4 </w:t>
      </w:r>
      <w:r w:rsidR="00D0076C">
        <w:rPr>
          <w:rFonts w:ascii="Noto Sans" w:hAnsi="Noto Sans" w:cs="Noto Sans"/>
          <w:color w:val="0070C0" w:themeColor="accent1"/>
          <w:sz w:val="40"/>
          <w:szCs w:val="40"/>
        </w:rPr>
        <w:t xml:space="preserve">- </w:t>
      </w:r>
      <w:r w:rsidR="00A30FB4">
        <w:rPr>
          <w:rFonts w:ascii="Noto Sans" w:hAnsi="Noto Sans" w:cs="Noto Sans"/>
          <w:color w:val="0070C0" w:themeColor="accent1"/>
          <w:sz w:val="40"/>
          <w:szCs w:val="40"/>
        </w:rPr>
        <w:t>2064</w:t>
      </w:r>
    </w:p>
    <w:p w14:paraId="57ADD8F9" w14:textId="77777777" w:rsidR="002D458F" w:rsidRDefault="002D458F" w:rsidP="00287ACB">
      <w:pPr>
        <w:keepNext/>
        <w:keepLines/>
        <w:rPr>
          <w:rFonts w:ascii="Noto Sans" w:eastAsia="Times New Roman" w:hAnsi="Noto Sans" w:cs="Noto Sans"/>
          <w:b/>
          <w:bCs/>
          <w:color w:val="BD8F00" w:themeColor="accent4"/>
          <w:sz w:val="32"/>
          <w:szCs w:val="32"/>
        </w:rPr>
      </w:pPr>
    </w:p>
    <w:p w14:paraId="3B7EEF82" w14:textId="77777777" w:rsidR="00933FBB" w:rsidRDefault="00933FBB" w:rsidP="00097AB1">
      <w:pPr>
        <w:keepNext/>
        <w:keepLines/>
        <w:rPr>
          <w:rFonts w:ascii="Noto Sans" w:eastAsia="Times New Roman" w:hAnsi="Noto Sans" w:cs="Noto Sans"/>
          <w:b/>
          <w:bCs/>
          <w:color w:val="BD8F00" w:themeColor="accent4"/>
          <w:sz w:val="40"/>
          <w:szCs w:val="40"/>
        </w:rPr>
      </w:pPr>
    </w:p>
    <w:p w14:paraId="7F5553AF" w14:textId="77777777" w:rsidR="00933FBB" w:rsidRDefault="00933FBB" w:rsidP="00933FBB">
      <w:pPr>
        <w:keepNext/>
        <w:keepLines/>
        <w:jc w:val="right"/>
        <w:rPr>
          <w:rFonts w:ascii="Noto Sans" w:eastAsia="Times New Roman" w:hAnsi="Noto Sans" w:cs="Noto Sans"/>
          <w:b/>
          <w:bCs/>
          <w:color w:val="BD8F00" w:themeColor="accent4"/>
          <w:sz w:val="40"/>
          <w:szCs w:val="40"/>
        </w:rPr>
      </w:pPr>
    </w:p>
    <w:p w14:paraId="37C38F54" w14:textId="0FB7200D" w:rsidR="00933FBB" w:rsidRPr="00E97851" w:rsidRDefault="00FE3C1B" w:rsidP="00933FBB">
      <w:pPr>
        <w:keepNext/>
        <w:keepLines/>
        <w:jc w:val="right"/>
        <w:rPr>
          <w:rFonts w:ascii="Noto Sans" w:eastAsia="Times New Roman" w:hAnsi="Noto Sans" w:cs="Noto Sans"/>
          <w:b/>
          <w:bCs/>
          <w:color w:val="BD8F00" w:themeColor="accent4"/>
          <w:sz w:val="60"/>
          <w:szCs w:val="60"/>
        </w:rPr>
      </w:pPr>
      <w:r w:rsidRPr="00E97851">
        <w:rPr>
          <w:rFonts w:ascii="Noto Sans" w:eastAsia="Times New Roman" w:hAnsi="Noto Sans" w:cs="Noto Sans"/>
          <w:b/>
          <w:bCs/>
          <w:color w:val="BD8F00" w:themeColor="accent4"/>
          <w:sz w:val="60"/>
          <w:szCs w:val="60"/>
        </w:rPr>
        <w:t>Building</w:t>
      </w:r>
      <w:r w:rsidR="00287ACB" w:rsidRPr="00E97851">
        <w:rPr>
          <w:rFonts w:ascii="Noto Sans" w:eastAsia="Times New Roman" w:hAnsi="Noto Sans" w:cs="Noto Sans"/>
          <w:b/>
          <w:bCs/>
          <w:color w:val="BD8F00" w:themeColor="accent4"/>
          <w:sz w:val="60"/>
          <w:szCs w:val="60"/>
        </w:rPr>
        <w:t xml:space="preserve"> </w:t>
      </w:r>
      <w:r w:rsidRPr="00E97851">
        <w:rPr>
          <w:rFonts w:ascii="Noto Sans" w:eastAsia="Times New Roman" w:hAnsi="Noto Sans" w:cs="Noto Sans"/>
          <w:b/>
          <w:bCs/>
          <w:color w:val="BD8F00" w:themeColor="accent4"/>
          <w:sz w:val="60"/>
          <w:szCs w:val="60"/>
        </w:rPr>
        <w:t xml:space="preserve">our </w:t>
      </w:r>
      <w:r w:rsidR="008371F2" w:rsidRPr="00E97851">
        <w:rPr>
          <w:rFonts w:ascii="Noto Sans" w:eastAsia="Times New Roman" w:hAnsi="Noto Sans" w:cs="Noto Sans"/>
          <w:b/>
          <w:bCs/>
          <w:color w:val="BD8F00" w:themeColor="accent4"/>
          <w:sz w:val="60"/>
          <w:szCs w:val="60"/>
        </w:rPr>
        <w:t>capacity</w:t>
      </w:r>
    </w:p>
    <w:p w14:paraId="73CAC816" w14:textId="7718E0C7" w:rsidR="00933FBB" w:rsidRPr="00833E6E" w:rsidRDefault="00E97851" w:rsidP="00833E6E">
      <w:pPr>
        <w:keepNext/>
        <w:keepLines/>
        <w:jc w:val="right"/>
        <w:rPr>
          <w:rFonts w:ascii="Noto Sans" w:eastAsia="Times New Roman" w:hAnsi="Noto Sans" w:cs="Noto Sans"/>
          <w:color w:val="BD8F00" w:themeColor="accent4"/>
          <w:sz w:val="28"/>
          <w:szCs w:val="28"/>
        </w:rPr>
      </w:pPr>
      <w:r>
        <w:rPr>
          <w:rFonts w:ascii="Noto Sans" w:eastAsia="Times New Roman" w:hAnsi="Noto Sans" w:cs="Noto Sans"/>
          <w:b/>
          <w:bCs/>
          <w:color w:val="BD8F00" w:themeColor="accent4"/>
          <w:sz w:val="28"/>
          <w:szCs w:val="28"/>
        </w:rPr>
        <w:t>for</w:t>
      </w:r>
      <w:r w:rsidR="00933FBB" w:rsidRPr="00933FBB">
        <w:rPr>
          <w:rFonts w:ascii="Noto Sans" w:eastAsia="Times New Roman" w:hAnsi="Noto Sans" w:cs="Noto Sans"/>
          <w:b/>
          <w:bCs/>
          <w:color w:val="BD8F00" w:themeColor="accent4"/>
          <w:sz w:val="28"/>
          <w:szCs w:val="28"/>
        </w:rPr>
        <w:t xml:space="preserve"> providing good quality homes </w:t>
      </w:r>
      <w:r w:rsidR="00FF5EA6">
        <w:rPr>
          <w:rFonts w:ascii="Noto Sans" w:eastAsia="Times New Roman" w:hAnsi="Noto Sans" w:cs="Noto Sans"/>
          <w:b/>
          <w:bCs/>
          <w:color w:val="BD8F00" w:themeColor="accent4"/>
          <w:sz w:val="28"/>
          <w:szCs w:val="28"/>
        </w:rPr>
        <w:t>and services</w:t>
      </w:r>
    </w:p>
    <w:p w14:paraId="32779BE0" w14:textId="77777777" w:rsidR="00933FBB" w:rsidRDefault="00933FBB" w:rsidP="00B51CF9">
      <w:pPr>
        <w:rPr>
          <w:rFonts w:ascii="Noto Sans" w:eastAsia="Calibri" w:hAnsi="Noto Sans" w:cs="Noto Sans"/>
          <w:lang w:val="en-US" w:eastAsia="en-GB"/>
        </w:rPr>
      </w:pPr>
    </w:p>
    <w:p w14:paraId="709EC7FD" w14:textId="33AD39DD" w:rsidR="00933FBB" w:rsidRDefault="00097AB1" w:rsidP="00097AB1">
      <w:pPr>
        <w:jc w:val="right"/>
        <w:rPr>
          <w:rFonts w:ascii="Noto Sans" w:eastAsia="Calibri" w:hAnsi="Noto Sans" w:cs="Noto Sans"/>
          <w:lang w:val="en-US" w:eastAsia="en-GB"/>
        </w:rPr>
      </w:pPr>
      <w:r>
        <w:rPr>
          <w:rFonts w:ascii="Noto Sans" w:eastAsia="Calibri" w:hAnsi="Noto Sans" w:cs="Noto Sans"/>
          <w:noProof/>
          <w:lang w:val="en-US" w:eastAsia="en-GB"/>
        </w:rPr>
        <w:drawing>
          <wp:inline distT="0" distB="0" distL="0" distR="0" wp14:anchorId="1791B2BF" wp14:editId="577539FD">
            <wp:extent cx="4755515" cy="3566636"/>
            <wp:effectExtent l="0" t="0" r="6985" b="0"/>
            <wp:docPr id="550767874" name="Picture 2" descr="A building with balconies and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767874" name="Picture 2" descr="A building with balconies and a street&#10;&#10;Description automatically generated"/>
                    <pic:cNvPicPr/>
                  </pic:nvPicPr>
                  <pic:blipFill>
                    <a:blip r:embed="rId9"/>
                    <a:stretch>
                      <a:fillRect/>
                    </a:stretch>
                  </pic:blipFill>
                  <pic:spPr>
                    <a:xfrm>
                      <a:off x="0" y="0"/>
                      <a:ext cx="4783496" cy="3587622"/>
                    </a:xfrm>
                    <a:prstGeom prst="rect">
                      <a:avLst/>
                    </a:prstGeom>
                  </pic:spPr>
                </pic:pic>
              </a:graphicData>
            </a:graphic>
          </wp:inline>
        </w:drawing>
      </w:r>
    </w:p>
    <w:p w14:paraId="6DFC7112" w14:textId="77777777" w:rsidR="006B67FB" w:rsidRDefault="006B67FB" w:rsidP="00833E6E">
      <w:pPr>
        <w:rPr>
          <w:rFonts w:ascii="Noto Sans" w:eastAsia="Calibri" w:hAnsi="Noto Sans" w:cs="Noto Sans"/>
          <w:lang w:val="en-US" w:eastAsia="en-GB"/>
        </w:rPr>
      </w:pPr>
    </w:p>
    <w:p w14:paraId="4CC57AF6" w14:textId="77777777" w:rsidR="006B67FB" w:rsidRDefault="006B67FB" w:rsidP="00933FBB">
      <w:pPr>
        <w:jc w:val="right"/>
        <w:rPr>
          <w:rFonts w:ascii="Noto Sans" w:eastAsia="Calibri" w:hAnsi="Noto Sans" w:cs="Noto Sans"/>
          <w:lang w:val="en-US" w:eastAsia="en-GB"/>
        </w:rPr>
      </w:pPr>
    </w:p>
    <w:p w14:paraId="2D2BC663" w14:textId="7C580FB9" w:rsidR="00933FBB" w:rsidRDefault="00F214E0" w:rsidP="00933FBB">
      <w:pPr>
        <w:jc w:val="right"/>
        <w:rPr>
          <w:rFonts w:ascii="Noto Sans" w:eastAsia="Calibri" w:hAnsi="Noto Sans" w:cs="Noto Sans"/>
          <w:lang w:val="en-US" w:eastAsia="en-GB"/>
        </w:rPr>
      </w:pPr>
      <w:r>
        <w:rPr>
          <w:rFonts w:ascii="Noto Sans" w:eastAsia="Calibri" w:hAnsi="Noto Sans" w:cs="Noto Sans"/>
          <w:lang w:val="en-US" w:eastAsia="en-GB"/>
        </w:rPr>
        <w:t xml:space="preserve">Version: </w:t>
      </w:r>
      <w:r w:rsidR="001A4CCA">
        <w:rPr>
          <w:rFonts w:ascii="Noto Sans" w:eastAsia="Calibri" w:hAnsi="Noto Sans" w:cs="Noto Sans"/>
          <w:lang w:val="en-US" w:eastAsia="en-GB"/>
        </w:rPr>
        <w:t>4</w:t>
      </w:r>
      <w:r w:rsidR="00A30FB4">
        <w:rPr>
          <w:rFonts w:ascii="Noto Sans" w:eastAsia="Calibri" w:hAnsi="Noto Sans" w:cs="Noto Sans"/>
          <w:lang w:val="en-US" w:eastAsia="en-GB"/>
        </w:rPr>
        <w:t xml:space="preserve"> </w:t>
      </w:r>
      <w:r w:rsidR="001A4CCA">
        <w:rPr>
          <w:rFonts w:ascii="Noto Sans" w:eastAsia="Calibri" w:hAnsi="Noto Sans" w:cs="Noto Sans"/>
          <w:lang w:val="en-US" w:eastAsia="en-GB"/>
        </w:rPr>
        <w:t>Octo</w:t>
      </w:r>
      <w:r w:rsidR="00FB1B80">
        <w:rPr>
          <w:rFonts w:ascii="Noto Sans" w:eastAsia="Calibri" w:hAnsi="Noto Sans" w:cs="Noto Sans"/>
          <w:lang w:val="en-US" w:eastAsia="en-GB"/>
        </w:rPr>
        <w:t>ber</w:t>
      </w:r>
      <w:r>
        <w:rPr>
          <w:rFonts w:ascii="Noto Sans" w:eastAsia="Calibri" w:hAnsi="Noto Sans" w:cs="Noto Sans"/>
          <w:lang w:val="en-US" w:eastAsia="en-GB"/>
        </w:rPr>
        <w:t xml:space="preserve"> 2024</w:t>
      </w:r>
      <w:r w:rsidR="00933FBB">
        <w:rPr>
          <w:rFonts w:ascii="Noto Sans" w:eastAsia="Calibri" w:hAnsi="Noto Sans" w:cs="Noto Sans"/>
          <w:lang w:val="en-US" w:eastAsia="en-GB"/>
        </w:rPr>
        <w:br w:type="page"/>
      </w:r>
    </w:p>
    <w:p w14:paraId="159C30DE" w14:textId="77777777" w:rsidR="00FC485E" w:rsidRDefault="00FC485E" w:rsidP="00B51CF9">
      <w:pPr>
        <w:rPr>
          <w:rFonts w:ascii="Noto Sans" w:eastAsia="Calibri" w:hAnsi="Noto Sans" w:cs="Noto Sans"/>
          <w:lang w:val="en-US" w:eastAsia="en-GB"/>
        </w:rPr>
      </w:pPr>
    </w:p>
    <w:p w14:paraId="52172949" w14:textId="77777777" w:rsidR="004967F0" w:rsidRDefault="004967F0" w:rsidP="00B51CF9">
      <w:pPr>
        <w:rPr>
          <w:rFonts w:ascii="Noto Sans" w:eastAsia="Calibri" w:hAnsi="Noto Sans" w:cs="Noto Sans"/>
          <w:b/>
          <w:bCs/>
          <w:color w:val="0070C0" w:themeColor="accent3"/>
          <w:sz w:val="28"/>
          <w:szCs w:val="28"/>
          <w:lang w:val="en-US" w:eastAsia="en-GB"/>
        </w:rPr>
      </w:pPr>
    </w:p>
    <w:p w14:paraId="68A340AF" w14:textId="77777777" w:rsidR="00833E6E" w:rsidRDefault="00833E6E" w:rsidP="00B51CF9">
      <w:pPr>
        <w:rPr>
          <w:rFonts w:ascii="Noto Sans" w:eastAsia="Calibri" w:hAnsi="Noto Sans" w:cs="Noto Sans"/>
          <w:b/>
          <w:bCs/>
          <w:color w:val="0070C0" w:themeColor="accent3"/>
          <w:sz w:val="28"/>
          <w:szCs w:val="28"/>
          <w:lang w:val="en-US" w:eastAsia="en-GB"/>
        </w:rPr>
      </w:pPr>
    </w:p>
    <w:p w14:paraId="34D58C70" w14:textId="77777777" w:rsidR="00833E6E" w:rsidRDefault="00833E6E" w:rsidP="00B51CF9">
      <w:pPr>
        <w:rPr>
          <w:rFonts w:ascii="Noto Sans" w:eastAsia="Calibri" w:hAnsi="Noto Sans" w:cs="Noto Sans"/>
          <w:b/>
          <w:bCs/>
          <w:color w:val="0070C0" w:themeColor="accent3"/>
          <w:sz w:val="28"/>
          <w:szCs w:val="28"/>
          <w:lang w:val="en-US" w:eastAsia="en-GB"/>
        </w:rPr>
      </w:pPr>
    </w:p>
    <w:p w14:paraId="20DB7AD4" w14:textId="59F55BF4" w:rsidR="004967F0" w:rsidRPr="00CB20CD" w:rsidRDefault="00833E6E" w:rsidP="00B51CF9">
      <w:pPr>
        <w:rPr>
          <w:rFonts w:ascii="Noto Sans" w:eastAsia="Calibri" w:hAnsi="Noto Sans" w:cs="Noto Sans"/>
          <w:b/>
          <w:bCs/>
          <w:color w:val="0070C0" w:themeColor="accent3"/>
          <w:sz w:val="40"/>
          <w:szCs w:val="40"/>
          <w:lang w:val="en-US" w:eastAsia="en-GB"/>
        </w:rPr>
      </w:pPr>
      <w:r w:rsidRPr="00CB20CD">
        <w:rPr>
          <w:rFonts w:ascii="Noto Sans" w:eastAsia="Calibri" w:hAnsi="Noto Sans" w:cs="Noto Sans"/>
          <w:b/>
          <w:bCs/>
          <w:color w:val="0070C0" w:themeColor="accent3"/>
          <w:sz w:val="40"/>
          <w:szCs w:val="40"/>
          <w:lang w:val="en-US" w:eastAsia="en-GB"/>
        </w:rPr>
        <w:t>CONTENTS</w:t>
      </w:r>
    </w:p>
    <w:p w14:paraId="6F62369B" w14:textId="77777777" w:rsidR="004967F0" w:rsidRDefault="004967F0" w:rsidP="00B51CF9">
      <w:pPr>
        <w:rPr>
          <w:rFonts w:ascii="Noto Sans" w:eastAsia="Calibri" w:hAnsi="Noto Sans" w:cs="Noto Sans"/>
          <w:b/>
          <w:bCs/>
          <w:color w:val="0070C0" w:themeColor="accent3"/>
          <w:sz w:val="28"/>
          <w:szCs w:val="28"/>
          <w:lang w:val="en-US" w:eastAsia="en-GB"/>
        </w:rPr>
      </w:pPr>
    </w:p>
    <w:p w14:paraId="179DCE3D" w14:textId="77777777" w:rsidR="004967F0" w:rsidRDefault="004967F0" w:rsidP="00B51CF9">
      <w:pPr>
        <w:rPr>
          <w:rFonts w:ascii="Noto Sans" w:eastAsia="Calibri" w:hAnsi="Noto Sans" w:cs="Noto Sans"/>
          <w:b/>
          <w:bCs/>
          <w:color w:val="0070C0" w:themeColor="accent3"/>
          <w:sz w:val="28"/>
          <w:szCs w:val="28"/>
          <w:lang w:val="en-US" w:eastAsia="en-GB"/>
        </w:rPr>
      </w:pPr>
    </w:p>
    <w:p w14:paraId="70179DB7" w14:textId="25D5D6CA" w:rsidR="00277F81" w:rsidRPr="00CB20CD" w:rsidRDefault="00104AB5" w:rsidP="00B51CF9">
      <w:pPr>
        <w:rPr>
          <w:rFonts w:ascii="Noto Sans" w:eastAsia="Calibri" w:hAnsi="Noto Sans" w:cs="Noto Sans"/>
          <w:b/>
          <w:bCs/>
          <w:color w:val="0070C0" w:themeColor="accent3"/>
          <w:sz w:val="32"/>
          <w:szCs w:val="32"/>
          <w:lang w:val="en-US" w:eastAsia="en-GB"/>
        </w:rPr>
      </w:pPr>
      <w:r w:rsidRPr="00CB20CD">
        <w:rPr>
          <w:rFonts w:ascii="Noto Sans" w:eastAsia="Calibri" w:hAnsi="Noto Sans" w:cs="Noto Sans"/>
          <w:b/>
          <w:bCs/>
          <w:color w:val="0070C0" w:themeColor="accent3"/>
          <w:sz w:val="32"/>
          <w:szCs w:val="32"/>
          <w:lang w:val="en-US" w:eastAsia="en-GB"/>
        </w:rPr>
        <w:t xml:space="preserve">Our </w:t>
      </w:r>
      <w:r w:rsidR="00DE6652" w:rsidRPr="00CB20CD">
        <w:rPr>
          <w:rFonts w:ascii="Noto Sans" w:eastAsia="Calibri" w:hAnsi="Noto Sans" w:cs="Noto Sans"/>
          <w:b/>
          <w:bCs/>
          <w:color w:val="0070C0" w:themeColor="accent3"/>
          <w:sz w:val="32"/>
          <w:szCs w:val="32"/>
          <w:lang w:val="en-US" w:eastAsia="en-GB"/>
        </w:rPr>
        <w:t>HRA Business</w:t>
      </w:r>
      <w:r w:rsidRPr="00CB20CD">
        <w:rPr>
          <w:rFonts w:ascii="Noto Sans" w:eastAsia="Calibri" w:hAnsi="Noto Sans" w:cs="Noto Sans"/>
          <w:b/>
          <w:bCs/>
          <w:color w:val="0070C0" w:themeColor="accent3"/>
          <w:sz w:val="32"/>
          <w:szCs w:val="32"/>
          <w:lang w:val="en-US" w:eastAsia="en-GB"/>
        </w:rPr>
        <w:t xml:space="preserve"> Plan</w:t>
      </w:r>
    </w:p>
    <w:p w14:paraId="5A4C8AEF" w14:textId="77777777" w:rsidR="00104AB5" w:rsidRPr="00104AB5" w:rsidRDefault="00104AB5" w:rsidP="00B51CF9">
      <w:pPr>
        <w:rPr>
          <w:rFonts w:ascii="Noto Sans" w:eastAsia="Calibri" w:hAnsi="Noto Sans" w:cs="Noto Sans"/>
          <w:b/>
          <w:bCs/>
          <w:color w:val="0070C0" w:themeColor="accent3"/>
          <w:sz w:val="16"/>
          <w:szCs w:val="16"/>
          <w:lang w:val="en-US" w:eastAsia="en-GB"/>
        </w:rPr>
      </w:pPr>
    </w:p>
    <w:p w14:paraId="72991F2B" w14:textId="37FACBF6" w:rsidR="00BE4919" w:rsidRPr="00CB20CD" w:rsidRDefault="00BE491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bookmarkStart w:id="0" w:name="_Hlk173933841"/>
      <w:r w:rsidRPr="00CB20CD">
        <w:rPr>
          <w:rFonts w:ascii="Noto Sans" w:eastAsia="Calibri" w:hAnsi="Noto Sans" w:cs="Noto Sans"/>
          <w:sz w:val="28"/>
          <w:szCs w:val="28"/>
          <w:lang w:val="en-US" w:eastAsia="en-GB"/>
        </w:rPr>
        <w:t>Introduction</w:t>
      </w:r>
      <w:r w:rsidR="007B3FCD" w:rsidRPr="00CB20CD">
        <w:rPr>
          <w:rFonts w:ascii="Noto Sans" w:eastAsia="Calibri" w:hAnsi="Noto Sans" w:cs="Noto Sans"/>
          <w:sz w:val="28"/>
          <w:szCs w:val="28"/>
          <w:lang w:val="en-US" w:eastAsia="en-GB"/>
        </w:rPr>
        <w:t xml:space="preserve"> and overview</w:t>
      </w:r>
    </w:p>
    <w:p w14:paraId="225FD066" w14:textId="2B590625" w:rsidR="00EE2472" w:rsidRPr="00CB20CD" w:rsidRDefault="00D85803"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Our operating</w:t>
      </w:r>
      <w:r w:rsidR="00EE2472" w:rsidRPr="00CB20CD">
        <w:rPr>
          <w:rFonts w:ascii="Noto Sans" w:eastAsia="Calibri" w:hAnsi="Noto Sans" w:cs="Noto Sans"/>
          <w:sz w:val="28"/>
          <w:szCs w:val="28"/>
          <w:lang w:val="en-US" w:eastAsia="en-GB"/>
        </w:rPr>
        <w:t xml:space="preserve"> context</w:t>
      </w:r>
    </w:p>
    <w:p w14:paraId="6AC86FD6" w14:textId="08510C3C" w:rsidR="00BE4919" w:rsidRPr="00CB20CD" w:rsidRDefault="00D85803" w:rsidP="00D85803">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Providing services for tenants</w:t>
      </w:r>
    </w:p>
    <w:p w14:paraId="5AFE9CBE" w14:textId="03989BEA" w:rsidR="00612BDC" w:rsidRPr="00CB20CD" w:rsidRDefault="00CD43D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 xml:space="preserve">Investing in our </w:t>
      </w:r>
      <w:r w:rsidR="007C4449" w:rsidRPr="00CB20CD">
        <w:rPr>
          <w:rFonts w:ascii="Noto Sans" w:eastAsia="Calibri" w:hAnsi="Noto Sans" w:cs="Noto Sans"/>
          <w:sz w:val="28"/>
          <w:szCs w:val="28"/>
          <w:lang w:val="en-US" w:eastAsia="en-GB"/>
        </w:rPr>
        <w:t xml:space="preserve">existing </w:t>
      </w:r>
      <w:r w:rsidRPr="00CB20CD">
        <w:rPr>
          <w:rFonts w:ascii="Noto Sans" w:eastAsia="Calibri" w:hAnsi="Noto Sans" w:cs="Noto Sans"/>
          <w:sz w:val="28"/>
          <w:szCs w:val="28"/>
          <w:lang w:val="en-US" w:eastAsia="en-GB"/>
        </w:rPr>
        <w:t>homes</w:t>
      </w:r>
      <w:r w:rsidR="007C4449" w:rsidRPr="00CB20CD">
        <w:rPr>
          <w:rFonts w:ascii="Noto Sans" w:eastAsia="Calibri" w:hAnsi="Noto Sans" w:cs="Noto Sans"/>
          <w:sz w:val="28"/>
          <w:szCs w:val="28"/>
          <w:lang w:val="en-US" w:eastAsia="en-GB"/>
        </w:rPr>
        <w:t xml:space="preserve"> and estates</w:t>
      </w:r>
    </w:p>
    <w:p w14:paraId="4DC18922" w14:textId="7540F148" w:rsidR="00CD43D9" w:rsidRPr="00CB20CD" w:rsidRDefault="00CD43D9"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Building new homes</w:t>
      </w:r>
    </w:p>
    <w:p w14:paraId="69688AAD" w14:textId="5593ACBE" w:rsidR="00E72375" w:rsidRPr="00CB20CD" w:rsidRDefault="00E72375" w:rsidP="00D33A64">
      <w:pPr>
        <w:pStyle w:val="ListParagraph"/>
        <w:numPr>
          <w:ilvl w:val="0"/>
          <w:numId w:val="10"/>
        </w:numPr>
        <w:spacing w:after="120"/>
        <w:ind w:left="714" w:hanging="357"/>
        <w:contextualSpacing w:val="0"/>
        <w:rPr>
          <w:rFonts w:ascii="Noto Sans" w:eastAsia="Calibri" w:hAnsi="Noto Sans" w:cs="Noto Sans"/>
          <w:sz w:val="28"/>
          <w:szCs w:val="28"/>
          <w:lang w:val="en-US" w:eastAsia="en-GB"/>
        </w:rPr>
      </w:pPr>
      <w:r w:rsidRPr="00CB20CD">
        <w:rPr>
          <w:rFonts w:ascii="Noto Sans" w:eastAsia="Calibri" w:hAnsi="Noto Sans" w:cs="Noto Sans"/>
          <w:sz w:val="28"/>
          <w:szCs w:val="28"/>
          <w:lang w:val="en-US" w:eastAsia="en-GB"/>
        </w:rPr>
        <w:t xml:space="preserve">Our </w:t>
      </w:r>
      <w:r w:rsidR="00833E6E" w:rsidRPr="00CB20CD">
        <w:rPr>
          <w:rFonts w:ascii="Noto Sans" w:eastAsia="Calibri" w:hAnsi="Noto Sans" w:cs="Noto Sans"/>
          <w:sz w:val="28"/>
          <w:szCs w:val="28"/>
          <w:lang w:val="en-US" w:eastAsia="en-GB"/>
        </w:rPr>
        <w:t xml:space="preserve">HRA Business Plan – the </w:t>
      </w:r>
      <w:r w:rsidRPr="00CB20CD">
        <w:rPr>
          <w:rFonts w:ascii="Noto Sans" w:eastAsia="Calibri" w:hAnsi="Noto Sans" w:cs="Noto Sans"/>
          <w:sz w:val="28"/>
          <w:szCs w:val="28"/>
          <w:lang w:val="en-US" w:eastAsia="en-GB"/>
        </w:rPr>
        <w:t>financial</w:t>
      </w:r>
      <w:r w:rsidR="00833E6E" w:rsidRPr="00CB20CD">
        <w:rPr>
          <w:rFonts w:ascii="Noto Sans" w:eastAsia="Calibri" w:hAnsi="Noto Sans" w:cs="Noto Sans"/>
          <w:sz w:val="28"/>
          <w:szCs w:val="28"/>
          <w:lang w:val="en-US" w:eastAsia="en-GB"/>
        </w:rPr>
        <w:t>s</w:t>
      </w:r>
    </w:p>
    <w:bookmarkEnd w:id="0"/>
    <w:p w14:paraId="248FE4A5" w14:textId="76FDC440" w:rsidR="00E9069E" w:rsidRPr="00612BDC" w:rsidRDefault="00E9069E" w:rsidP="00D33A64">
      <w:pPr>
        <w:pStyle w:val="ListParagraph"/>
        <w:numPr>
          <w:ilvl w:val="0"/>
          <w:numId w:val="10"/>
        </w:numPr>
        <w:spacing w:after="120"/>
        <w:ind w:left="714" w:hanging="357"/>
        <w:contextualSpacing w:val="0"/>
        <w:rPr>
          <w:rFonts w:ascii="Noto Sans" w:eastAsia="Calibri" w:hAnsi="Noto Sans" w:cs="Noto Sans"/>
          <w:color w:val="0070C0" w:themeColor="accent3"/>
          <w:lang w:val="en-US" w:eastAsia="en-GB"/>
        </w:rPr>
      </w:pPr>
      <w:r w:rsidRPr="00612BDC">
        <w:rPr>
          <w:rFonts w:ascii="Noto Sans" w:eastAsia="Calibri" w:hAnsi="Noto Sans" w:cs="Noto Sans"/>
          <w:b/>
          <w:bCs/>
          <w:lang w:val="en-US" w:eastAsia="en-GB"/>
        </w:rPr>
        <w:br w:type="page"/>
      </w:r>
    </w:p>
    <w:p w14:paraId="11549D2C" w14:textId="0BBE204D" w:rsidR="00762D28" w:rsidRPr="00E05588" w:rsidRDefault="00593DBC" w:rsidP="00D33A64">
      <w:pPr>
        <w:pStyle w:val="ListParagraph"/>
        <w:numPr>
          <w:ilvl w:val="0"/>
          <w:numId w:val="11"/>
        </w:numPr>
        <w:ind w:hanging="720"/>
        <w:rPr>
          <w:rFonts w:ascii="Noto Sans" w:eastAsia="Calibri" w:hAnsi="Noto Sans" w:cs="Noto Sans"/>
          <w:b/>
          <w:bCs/>
          <w:color w:val="0070C0" w:themeColor="accent1"/>
          <w:sz w:val="36"/>
          <w:szCs w:val="36"/>
          <w:lang w:val="en-US" w:eastAsia="en-GB"/>
        </w:rPr>
      </w:pPr>
      <w:r w:rsidRPr="00E05588">
        <w:rPr>
          <w:rFonts w:ascii="Noto Sans" w:eastAsia="Calibri" w:hAnsi="Noto Sans" w:cs="Noto Sans"/>
          <w:b/>
          <w:bCs/>
          <w:color w:val="0070C0" w:themeColor="accent1"/>
          <w:sz w:val="36"/>
          <w:szCs w:val="36"/>
          <w:lang w:val="en-US" w:eastAsia="en-GB"/>
        </w:rPr>
        <w:lastRenderedPageBreak/>
        <w:t>Introduction</w:t>
      </w:r>
      <w:r w:rsidR="00C27D32">
        <w:rPr>
          <w:rFonts w:ascii="Noto Sans" w:eastAsia="Calibri" w:hAnsi="Noto Sans" w:cs="Noto Sans"/>
          <w:b/>
          <w:bCs/>
          <w:color w:val="0070C0" w:themeColor="accent1"/>
          <w:sz w:val="36"/>
          <w:szCs w:val="36"/>
          <w:lang w:val="en-US" w:eastAsia="en-GB"/>
        </w:rPr>
        <w:t xml:space="preserve"> and overview</w:t>
      </w:r>
    </w:p>
    <w:p w14:paraId="14ECEBBB" w14:textId="4D954228" w:rsidR="004C7DF0" w:rsidRPr="00E05588" w:rsidRDefault="004C7DF0" w:rsidP="004C7DF0">
      <w:pPr>
        <w:pStyle w:val="ListParagraph"/>
        <w:ind w:left="284"/>
        <w:rPr>
          <w:rFonts w:ascii="Noto Sans" w:eastAsia="Calibri" w:hAnsi="Noto Sans" w:cs="Noto Sans"/>
          <w:lang w:val="en-US" w:eastAsia="en-GB"/>
        </w:rPr>
      </w:pPr>
    </w:p>
    <w:p w14:paraId="063E6E45" w14:textId="404291F3" w:rsidR="00E03748" w:rsidRPr="006C3D44" w:rsidRDefault="00FA194E" w:rsidP="00BF02F0">
      <w:pPr>
        <w:spacing w:after="120"/>
        <w:rPr>
          <w:rFonts w:ascii="Noto Sans" w:eastAsia="Calibri" w:hAnsi="Noto Sans" w:cs="Noto Sans"/>
          <w:b/>
          <w:bCs/>
          <w:lang w:eastAsia="en-GB"/>
        </w:rPr>
      </w:pPr>
      <w:r w:rsidRPr="00285F2C">
        <w:rPr>
          <w:rFonts w:ascii="Noto Sans" w:eastAsia="Calibri" w:hAnsi="Noto Sans" w:cs="Noto Sans"/>
          <w:b/>
          <w:bCs/>
          <w:lang w:eastAsia="en-GB"/>
        </w:rPr>
        <w:t xml:space="preserve">Our HRA Business Plan sets out how we will </w:t>
      </w:r>
      <w:r w:rsidR="009D5623" w:rsidRPr="00285F2C">
        <w:rPr>
          <w:rFonts w:ascii="Noto Sans" w:eastAsia="Calibri" w:hAnsi="Noto Sans" w:cs="Noto Sans"/>
          <w:b/>
          <w:bCs/>
          <w:lang w:eastAsia="en-GB"/>
        </w:rPr>
        <w:t xml:space="preserve">best </w:t>
      </w:r>
      <w:r w:rsidRPr="00285F2C">
        <w:rPr>
          <w:rFonts w:ascii="Noto Sans" w:eastAsia="Calibri" w:hAnsi="Noto Sans" w:cs="Noto Sans"/>
          <w:b/>
          <w:bCs/>
          <w:lang w:eastAsia="en-GB"/>
        </w:rPr>
        <w:t>use the resources of the Council’s Housing Rev</w:t>
      </w:r>
      <w:r w:rsidR="009707A5" w:rsidRPr="00285F2C">
        <w:rPr>
          <w:rFonts w:ascii="Noto Sans" w:eastAsia="Calibri" w:hAnsi="Noto Sans" w:cs="Noto Sans"/>
          <w:b/>
          <w:bCs/>
          <w:lang w:eastAsia="en-GB"/>
        </w:rPr>
        <w:t xml:space="preserve">enue Account (HRA) </w:t>
      </w:r>
      <w:r w:rsidRPr="00285F2C">
        <w:rPr>
          <w:rFonts w:ascii="Noto Sans" w:eastAsia="Calibri" w:hAnsi="Noto Sans" w:cs="Noto Sans"/>
          <w:b/>
          <w:bCs/>
          <w:lang w:eastAsia="en-GB"/>
        </w:rPr>
        <w:t xml:space="preserve">to </w:t>
      </w:r>
      <w:r w:rsidR="009D5623" w:rsidRPr="00285F2C">
        <w:rPr>
          <w:rFonts w:ascii="Noto Sans" w:eastAsia="Calibri" w:hAnsi="Noto Sans" w:cs="Noto Sans"/>
          <w:b/>
          <w:bCs/>
          <w:lang w:eastAsia="en-GB"/>
        </w:rPr>
        <w:t xml:space="preserve">maximise our role as </w:t>
      </w:r>
      <w:r w:rsidR="00D024FC" w:rsidRPr="00285F2C">
        <w:rPr>
          <w:rFonts w:ascii="Noto Sans" w:eastAsia="Calibri" w:hAnsi="Noto Sans" w:cs="Noto Sans"/>
          <w:b/>
          <w:bCs/>
          <w:lang w:eastAsia="en-GB"/>
        </w:rPr>
        <w:t>an ambitious local authority and social housing landlord.</w:t>
      </w:r>
    </w:p>
    <w:p w14:paraId="29492651" w14:textId="49F9932D" w:rsidR="00FA194E" w:rsidRPr="00F92746" w:rsidRDefault="006C3D44" w:rsidP="00BF02F0">
      <w:pPr>
        <w:spacing w:after="120"/>
        <w:rPr>
          <w:rFonts w:ascii="Noto Sans" w:eastAsia="Calibri" w:hAnsi="Noto Sans" w:cs="Noto Sans"/>
          <w:lang w:val="en-US" w:eastAsia="en-GB"/>
        </w:rPr>
      </w:pPr>
      <w:r>
        <w:rPr>
          <w:rFonts w:ascii="Noto Sans" w:eastAsia="Calibri" w:hAnsi="Noto Sans" w:cs="Noto Sans"/>
          <w:lang w:eastAsia="en-GB"/>
        </w:rPr>
        <w:t>T</w:t>
      </w:r>
      <w:r w:rsidR="00FA194E" w:rsidRPr="00F92746">
        <w:rPr>
          <w:rFonts w:ascii="Noto Sans" w:eastAsia="Calibri" w:hAnsi="Noto Sans" w:cs="Noto Sans"/>
          <w:lang w:eastAsia="en-GB"/>
        </w:rPr>
        <w:t xml:space="preserve">he HRA Business Plan </w:t>
      </w:r>
      <w:r w:rsidR="00D0076C">
        <w:rPr>
          <w:rFonts w:ascii="Noto Sans" w:eastAsia="Calibri" w:hAnsi="Noto Sans" w:cs="Noto Sans"/>
          <w:lang w:eastAsia="en-GB"/>
        </w:rPr>
        <w:t xml:space="preserve">financials </w:t>
      </w:r>
      <w:r w:rsidR="00F92746" w:rsidRPr="00F92746">
        <w:rPr>
          <w:rFonts w:ascii="Noto Sans" w:eastAsia="Calibri" w:hAnsi="Noto Sans" w:cs="Noto Sans"/>
          <w:lang w:eastAsia="en-GB"/>
        </w:rPr>
        <w:t>cover a period of</w:t>
      </w:r>
      <w:r w:rsidR="00FA194E" w:rsidRPr="00F92746">
        <w:rPr>
          <w:rFonts w:ascii="Noto Sans" w:eastAsia="Calibri" w:hAnsi="Noto Sans" w:cs="Noto Sans"/>
          <w:lang w:eastAsia="en-GB"/>
        </w:rPr>
        <w:t xml:space="preserve"> </w:t>
      </w:r>
      <w:r w:rsidR="00657F2D">
        <w:rPr>
          <w:rFonts w:ascii="Noto Sans" w:eastAsia="Calibri" w:hAnsi="Noto Sans" w:cs="Noto Sans"/>
          <w:lang w:eastAsia="en-GB"/>
        </w:rPr>
        <w:t>4</w:t>
      </w:r>
      <w:r w:rsidR="00FA194E" w:rsidRPr="00F92746">
        <w:rPr>
          <w:rFonts w:ascii="Noto Sans" w:eastAsia="Calibri" w:hAnsi="Noto Sans" w:cs="Noto Sans"/>
          <w:lang w:eastAsia="en-GB"/>
        </w:rPr>
        <w:t>0 years</w:t>
      </w:r>
      <w:r w:rsidR="00D0076C">
        <w:rPr>
          <w:rFonts w:ascii="Noto Sans" w:eastAsia="Calibri" w:hAnsi="Noto Sans" w:cs="Noto Sans"/>
          <w:lang w:eastAsia="en-GB"/>
        </w:rPr>
        <w:t xml:space="preserve"> from </w:t>
      </w:r>
      <w:r w:rsidR="00D0076C" w:rsidRPr="00D0076C">
        <w:rPr>
          <w:rFonts w:ascii="Noto Sans" w:eastAsia="Calibri" w:hAnsi="Noto Sans" w:cs="Noto Sans"/>
          <w:lang w:eastAsia="en-GB"/>
        </w:rPr>
        <w:t xml:space="preserve">1 April </w:t>
      </w:r>
      <w:r w:rsidR="00A30FB4" w:rsidRPr="00D0076C">
        <w:rPr>
          <w:rFonts w:ascii="Noto Sans" w:eastAsia="Calibri" w:hAnsi="Noto Sans" w:cs="Noto Sans"/>
          <w:lang w:eastAsia="en-GB"/>
        </w:rPr>
        <w:t>202</w:t>
      </w:r>
      <w:r w:rsidR="00A30FB4">
        <w:rPr>
          <w:rFonts w:ascii="Noto Sans" w:eastAsia="Calibri" w:hAnsi="Noto Sans" w:cs="Noto Sans"/>
          <w:lang w:eastAsia="en-GB"/>
        </w:rPr>
        <w:t>4</w:t>
      </w:r>
      <w:r w:rsidR="00A30FB4" w:rsidRPr="00D0076C">
        <w:rPr>
          <w:rFonts w:ascii="Noto Sans" w:eastAsia="Calibri" w:hAnsi="Noto Sans" w:cs="Noto Sans"/>
          <w:lang w:eastAsia="en-GB"/>
        </w:rPr>
        <w:t xml:space="preserve"> </w:t>
      </w:r>
      <w:r w:rsidR="00D0076C">
        <w:rPr>
          <w:rFonts w:ascii="Noto Sans" w:eastAsia="Calibri" w:hAnsi="Noto Sans" w:cs="Noto Sans"/>
          <w:lang w:eastAsia="en-GB"/>
        </w:rPr>
        <w:t>to</w:t>
      </w:r>
      <w:r w:rsidR="00D0076C" w:rsidRPr="00D0076C">
        <w:rPr>
          <w:rFonts w:ascii="Noto Sans" w:eastAsia="Calibri" w:hAnsi="Noto Sans" w:cs="Noto Sans"/>
          <w:lang w:eastAsia="en-GB"/>
        </w:rPr>
        <w:t xml:space="preserve"> 31 March </w:t>
      </w:r>
      <w:r w:rsidR="00A30FB4" w:rsidRPr="00D0076C">
        <w:rPr>
          <w:rFonts w:ascii="Noto Sans" w:eastAsia="Calibri" w:hAnsi="Noto Sans" w:cs="Noto Sans"/>
          <w:lang w:eastAsia="en-GB"/>
        </w:rPr>
        <w:t>206</w:t>
      </w:r>
      <w:r w:rsidR="00A30FB4">
        <w:rPr>
          <w:rFonts w:ascii="Noto Sans" w:eastAsia="Calibri" w:hAnsi="Noto Sans" w:cs="Noto Sans"/>
          <w:lang w:eastAsia="en-GB"/>
        </w:rPr>
        <w:t>4</w:t>
      </w:r>
      <w:r w:rsidR="00FA194E" w:rsidRPr="00F92746">
        <w:rPr>
          <w:rFonts w:ascii="Noto Sans" w:eastAsia="Calibri" w:hAnsi="Noto Sans" w:cs="Noto Sans"/>
          <w:lang w:eastAsia="en-GB"/>
        </w:rPr>
        <w:t xml:space="preserve">, </w:t>
      </w:r>
      <w:r>
        <w:rPr>
          <w:rFonts w:ascii="Noto Sans" w:eastAsia="Calibri" w:hAnsi="Noto Sans" w:cs="Noto Sans"/>
          <w:lang w:eastAsia="en-GB"/>
        </w:rPr>
        <w:t>but with</w:t>
      </w:r>
      <w:r w:rsidR="006F5093">
        <w:rPr>
          <w:rFonts w:ascii="Noto Sans" w:eastAsia="Calibri" w:hAnsi="Noto Sans" w:cs="Noto Sans"/>
          <w:lang w:eastAsia="en-GB"/>
        </w:rPr>
        <w:t xml:space="preserve"> a focus</w:t>
      </w:r>
      <w:r w:rsidR="00FA194E" w:rsidRPr="00F92746">
        <w:rPr>
          <w:rFonts w:ascii="Noto Sans" w:eastAsia="Calibri" w:hAnsi="Noto Sans" w:cs="Noto Sans"/>
          <w:lang w:eastAsia="en-GB"/>
        </w:rPr>
        <w:t xml:space="preserve"> on </w:t>
      </w:r>
      <w:r w:rsidR="006F5093">
        <w:rPr>
          <w:rFonts w:ascii="Noto Sans" w:eastAsia="Calibri" w:hAnsi="Noto Sans" w:cs="Noto Sans"/>
          <w:lang w:eastAsia="en-GB"/>
        </w:rPr>
        <w:t xml:space="preserve">activity in </w:t>
      </w:r>
      <w:r w:rsidR="00FA194E" w:rsidRPr="00F92746">
        <w:rPr>
          <w:rFonts w:ascii="Noto Sans" w:eastAsia="Calibri" w:hAnsi="Noto Sans" w:cs="Noto Sans"/>
          <w:lang w:eastAsia="en-GB"/>
        </w:rPr>
        <w:t>the first 5 years</w:t>
      </w:r>
      <w:r w:rsidR="006F5093">
        <w:rPr>
          <w:rFonts w:ascii="Noto Sans" w:eastAsia="Calibri" w:hAnsi="Noto Sans" w:cs="Noto Sans"/>
          <w:lang w:eastAsia="en-GB"/>
        </w:rPr>
        <w:t xml:space="preserve">. </w:t>
      </w:r>
      <w:r w:rsidR="00246EF3">
        <w:rPr>
          <w:rFonts w:ascii="Noto Sans" w:eastAsia="Calibri" w:hAnsi="Noto Sans" w:cs="Noto Sans"/>
          <w:lang w:eastAsia="en-GB"/>
        </w:rPr>
        <w:t xml:space="preserve">In developing the Plan, </w:t>
      </w:r>
      <w:r w:rsidR="008016E1">
        <w:rPr>
          <w:rFonts w:ascii="Noto Sans" w:eastAsia="Calibri" w:hAnsi="Noto Sans" w:cs="Noto Sans"/>
          <w:lang w:eastAsia="en-GB"/>
        </w:rPr>
        <w:t xml:space="preserve">we have considered the national context for local authority </w:t>
      </w:r>
      <w:r w:rsidR="00E85006">
        <w:rPr>
          <w:rFonts w:ascii="Noto Sans" w:eastAsia="Calibri" w:hAnsi="Noto Sans" w:cs="Noto Sans"/>
          <w:lang w:eastAsia="en-GB"/>
        </w:rPr>
        <w:t>landlords and financing</w:t>
      </w:r>
      <w:r w:rsidR="008016E1">
        <w:rPr>
          <w:rFonts w:ascii="Noto Sans" w:eastAsia="Calibri" w:hAnsi="Noto Sans" w:cs="Noto Sans"/>
          <w:lang w:eastAsia="en-GB"/>
        </w:rPr>
        <w:t xml:space="preserve">, </w:t>
      </w:r>
      <w:r w:rsidR="00541202">
        <w:rPr>
          <w:rFonts w:ascii="Noto Sans" w:eastAsia="Calibri" w:hAnsi="Noto Sans" w:cs="Noto Sans"/>
          <w:lang w:eastAsia="en-GB"/>
        </w:rPr>
        <w:t>the</w:t>
      </w:r>
      <w:r w:rsidR="008016E1">
        <w:rPr>
          <w:rFonts w:ascii="Noto Sans" w:eastAsia="Calibri" w:hAnsi="Noto Sans" w:cs="Noto Sans"/>
          <w:lang w:eastAsia="en-GB"/>
        </w:rPr>
        <w:t xml:space="preserve"> local Oxford context, </w:t>
      </w:r>
      <w:r w:rsidR="00FA194E" w:rsidRPr="00F92746">
        <w:rPr>
          <w:rFonts w:ascii="Noto Sans" w:eastAsia="Calibri" w:hAnsi="Noto Sans" w:cs="Noto Sans"/>
          <w:lang w:eastAsia="en-GB"/>
        </w:rPr>
        <w:t xml:space="preserve">as </w:t>
      </w:r>
      <w:r w:rsidR="00E85006">
        <w:rPr>
          <w:rFonts w:ascii="Noto Sans" w:eastAsia="Calibri" w:hAnsi="Noto Sans" w:cs="Noto Sans"/>
          <w:lang w:eastAsia="en-GB"/>
        </w:rPr>
        <w:t xml:space="preserve">well as the impacts and challenges presented by </w:t>
      </w:r>
      <w:r w:rsidR="00350751">
        <w:rPr>
          <w:rFonts w:ascii="Noto Sans" w:eastAsia="Calibri" w:hAnsi="Noto Sans" w:cs="Noto Sans"/>
          <w:lang w:eastAsia="en-GB"/>
        </w:rPr>
        <w:t>new and increasing legislation and regulation.</w:t>
      </w:r>
    </w:p>
    <w:p w14:paraId="2D6C133A" w14:textId="5F6FB8C8" w:rsidR="00320989" w:rsidRDefault="00320989" w:rsidP="00320989">
      <w:pPr>
        <w:rPr>
          <w:rFonts w:ascii="Noto Sans" w:eastAsia="Calibri" w:hAnsi="Noto Sans" w:cs="Noto Sans"/>
          <w:lang w:val="en-US" w:eastAsia="en-GB"/>
        </w:rPr>
      </w:pPr>
      <w:r>
        <w:rPr>
          <w:rFonts w:ascii="Noto Sans" w:eastAsia="Calibri" w:hAnsi="Noto Sans" w:cs="Noto Sans"/>
          <w:lang w:val="en-US" w:eastAsia="en-GB"/>
        </w:rPr>
        <w:t>The HRA Business Plan help</w:t>
      </w:r>
      <w:r w:rsidR="006C3D44">
        <w:rPr>
          <w:rFonts w:ascii="Noto Sans" w:eastAsia="Calibri" w:hAnsi="Noto Sans" w:cs="Noto Sans"/>
          <w:lang w:val="en-US" w:eastAsia="en-GB"/>
        </w:rPr>
        <w:t>s</w:t>
      </w:r>
      <w:r>
        <w:rPr>
          <w:rFonts w:ascii="Noto Sans" w:eastAsia="Calibri" w:hAnsi="Noto Sans" w:cs="Noto Sans"/>
          <w:lang w:val="en-US" w:eastAsia="en-GB"/>
        </w:rPr>
        <w:t xml:space="preserve"> facilitate delivery of the Oxford Corporate Strategy</w:t>
      </w:r>
      <w:r w:rsidR="00CE1980">
        <w:rPr>
          <w:rFonts w:ascii="Noto Sans" w:eastAsia="Calibri" w:hAnsi="Noto Sans" w:cs="Noto Sans"/>
          <w:lang w:val="en-US" w:eastAsia="en-GB"/>
        </w:rPr>
        <w:t xml:space="preserve"> 2024 to 2028</w:t>
      </w:r>
      <w:r>
        <w:rPr>
          <w:rFonts w:ascii="Noto Sans" w:eastAsia="Calibri" w:hAnsi="Noto Sans" w:cs="Noto Sans"/>
          <w:lang w:val="en-US" w:eastAsia="en-GB"/>
        </w:rPr>
        <w:t>, HRA Asset Management Plan</w:t>
      </w:r>
      <w:r w:rsidR="00CE1980">
        <w:rPr>
          <w:rFonts w:ascii="Noto Sans" w:eastAsia="Calibri" w:hAnsi="Noto Sans" w:cs="Noto Sans"/>
          <w:lang w:val="en-US" w:eastAsia="en-GB"/>
        </w:rPr>
        <w:t xml:space="preserve"> 2025 to 2027</w:t>
      </w:r>
      <w:r>
        <w:rPr>
          <w:rFonts w:ascii="Noto Sans" w:eastAsia="Calibri" w:hAnsi="Noto Sans" w:cs="Noto Sans"/>
          <w:lang w:val="en-US" w:eastAsia="en-GB"/>
        </w:rPr>
        <w:t xml:space="preserve">, and </w:t>
      </w:r>
      <w:r w:rsidR="00CE1980">
        <w:rPr>
          <w:rFonts w:ascii="Noto Sans" w:eastAsia="Calibri" w:hAnsi="Noto Sans" w:cs="Noto Sans"/>
          <w:lang w:val="en-US" w:eastAsia="en-GB"/>
        </w:rPr>
        <w:t xml:space="preserve">the </w:t>
      </w:r>
      <w:r>
        <w:rPr>
          <w:rFonts w:ascii="Noto Sans" w:eastAsia="Calibri" w:hAnsi="Noto Sans" w:cs="Noto Sans"/>
          <w:lang w:val="en-US" w:eastAsia="en-GB"/>
        </w:rPr>
        <w:t>Housing</w:t>
      </w:r>
      <w:r w:rsidR="00CE1980">
        <w:rPr>
          <w:rFonts w:ascii="Noto Sans" w:eastAsia="Calibri" w:hAnsi="Noto Sans" w:cs="Noto Sans"/>
          <w:lang w:val="en-US" w:eastAsia="en-GB"/>
        </w:rPr>
        <w:t>, Homelessness &amp; Rough Sleeping</w:t>
      </w:r>
      <w:r>
        <w:rPr>
          <w:rFonts w:ascii="Noto Sans" w:eastAsia="Calibri" w:hAnsi="Noto Sans" w:cs="Noto Sans"/>
          <w:lang w:val="en-US" w:eastAsia="en-GB"/>
        </w:rPr>
        <w:t xml:space="preserve"> Strategy</w:t>
      </w:r>
      <w:r w:rsidR="00CE1980">
        <w:rPr>
          <w:rFonts w:ascii="Noto Sans" w:eastAsia="Calibri" w:hAnsi="Noto Sans" w:cs="Noto Sans"/>
          <w:lang w:val="en-US" w:eastAsia="en-GB"/>
        </w:rPr>
        <w:t xml:space="preserve"> 2023 to 2028</w:t>
      </w:r>
      <w:r>
        <w:rPr>
          <w:rFonts w:ascii="Noto Sans" w:eastAsia="Calibri" w:hAnsi="Noto Sans" w:cs="Noto Sans"/>
          <w:lang w:val="en-US" w:eastAsia="en-GB"/>
        </w:rPr>
        <w:t>. Together, all four strategies and plans underpin our activities and ambitions as a Council.</w:t>
      </w:r>
    </w:p>
    <w:p w14:paraId="0A32503B" w14:textId="77777777" w:rsidR="00C529C9" w:rsidRPr="00C529C9" w:rsidRDefault="00C529C9" w:rsidP="00320989">
      <w:pPr>
        <w:rPr>
          <w:rFonts w:ascii="Noto Sans" w:eastAsia="Calibri" w:hAnsi="Noto Sans" w:cs="Noto Sans"/>
          <w:sz w:val="12"/>
          <w:szCs w:val="12"/>
          <w:lang w:val="en-US" w:eastAsia="en-GB"/>
        </w:rPr>
      </w:pPr>
    </w:p>
    <w:p w14:paraId="262A59DC" w14:textId="26C0EF1D" w:rsidR="00320989" w:rsidRDefault="00DC14B2" w:rsidP="00320989">
      <w:pPr>
        <w:rPr>
          <w:rFonts w:ascii="Noto Sans" w:eastAsia="Calibri" w:hAnsi="Noto Sans" w:cs="Noto Sans"/>
          <w:lang w:val="en-US" w:eastAsia="en-GB"/>
        </w:rPr>
      </w:pPr>
      <w:r w:rsidRPr="009006B6">
        <w:rPr>
          <w:rFonts w:ascii="Noto Sans" w:eastAsia="Calibri" w:hAnsi="Noto Sans" w:cs="Noto Sans"/>
          <w:noProof/>
          <w:lang w:eastAsia="en-GB"/>
        </w:rPr>
        <mc:AlternateContent>
          <mc:Choice Requires="wps">
            <w:drawing>
              <wp:anchor distT="45720" distB="45720" distL="114300" distR="114300" simplePos="0" relativeHeight="251665408" behindDoc="0" locked="0" layoutInCell="1" allowOverlap="1" wp14:anchorId="0D0C3165" wp14:editId="22675F4F">
                <wp:simplePos x="0" y="0"/>
                <wp:positionH relativeFrom="margin">
                  <wp:posOffset>0</wp:posOffset>
                </wp:positionH>
                <wp:positionV relativeFrom="paragraph">
                  <wp:posOffset>1220470</wp:posOffset>
                </wp:positionV>
                <wp:extent cx="6055360" cy="406400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360" cy="4064000"/>
                        </a:xfrm>
                        <a:prstGeom prst="rect">
                          <a:avLst/>
                        </a:prstGeom>
                        <a:solidFill>
                          <a:schemeClr val="accent3"/>
                        </a:solidFill>
                        <a:ln w="9525">
                          <a:solidFill>
                            <a:schemeClr val="accent3"/>
                          </a:solidFill>
                          <a:miter lim="800000"/>
                          <a:headEnd/>
                          <a:tailEnd/>
                        </a:ln>
                      </wps:spPr>
                      <wps:txbx>
                        <w:txbxContent>
                          <w:p w14:paraId="5E2CA278" w14:textId="77777777" w:rsidR="00210FE7" w:rsidRPr="00C33F95" w:rsidRDefault="00210FE7" w:rsidP="00210FE7">
                            <w:pPr>
                              <w:spacing w:after="120"/>
                              <w:rPr>
                                <w:rFonts w:ascii="Abadi" w:hAnsi="Abadi"/>
                                <w:b/>
                                <w:bCs/>
                                <w:color w:val="FFFFFF" w:themeColor="background1"/>
                                <w:sz w:val="28"/>
                                <w:szCs w:val="28"/>
                              </w:rPr>
                            </w:pPr>
                            <w:r w:rsidRPr="00C33F95">
                              <w:rPr>
                                <w:rFonts w:ascii="Abadi" w:hAnsi="Abadi"/>
                                <w:b/>
                                <w:bCs/>
                                <w:color w:val="FFFFFF" w:themeColor="background1"/>
                                <w:sz w:val="28"/>
                                <w:szCs w:val="28"/>
                              </w:rPr>
                              <w:t>About the Housing Revenue Account (the HRA)</w:t>
                            </w:r>
                          </w:p>
                          <w:p w14:paraId="6BD6ADFE" w14:textId="5D13DDB0" w:rsidR="009006B6" w:rsidRDefault="009006B6" w:rsidP="00E03748">
                            <w:pPr>
                              <w:spacing w:after="120"/>
                              <w:rPr>
                                <w:rFonts w:ascii="Abadi" w:hAnsi="Abadi"/>
                                <w:color w:val="FFFFFF" w:themeColor="background1"/>
                              </w:rPr>
                            </w:pPr>
                            <w:r w:rsidRPr="009006B6">
                              <w:rPr>
                                <w:rFonts w:ascii="Abadi" w:hAnsi="Abadi"/>
                                <w:color w:val="FFFFFF" w:themeColor="background1"/>
                              </w:rPr>
                              <w:t xml:space="preserve">The Housing Revenue Account is a ring-fenced account within the </w:t>
                            </w:r>
                            <w:r w:rsidR="00A50F05">
                              <w:rPr>
                                <w:rFonts w:ascii="Abadi" w:hAnsi="Abadi"/>
                                <w:color w:val="FFFFFF" w:themeColor="background1"/>
                              </w:rPr>
                              <w:t>C</w:t>
                            </w:r>
                            <w:r w:rsidRPr="009006B6">
                              <w:rPr>
                                <w:rFonts w:ascii="Abadi" w:hAnsi="Abadi"/>
                                <w:color w:val="FFFFFF" w:themeColor="background1"/>
                              </w:rPr>
                              <w:t>ouncil’s General Fund</w:t>
                            </w:r>
                            <w:r>
                              <w:rPr>
                                <w:rFonts w:ascii="Abadi" w:hAnsi="Abadi"/>
                                <w:color w:val="FFFFFF" w:themeColor="background1"/>
                              </w:rPr>
                              <w:t>. It i</w:t>
                            </w:r>
                            <w:r w:rsidRPr="009006B6">
                              <w:rPr>
                                <w:rFonts w:ascii="Abadi" w:hAnsi="Abadi"/>
                                <w:color w:val="FFFFFF" w:themeColor="background1"/>
                              </w:rPr>
                              <w:t xml:space="preserve">s used to account for transactions relating to </w:t>
                            </w:r>
                            <w:r w:rsidR="00A50F05">
                              <w:rPr>
                                <w:rFonts w:ascii="Abadi" w:hAnsi="Abadi"/>
                                <w:color w:val="FFFFFF" w:themeColor="background1"/>
                              </w:rPr>
                              <w:t xml:space="preserve">our </w:t>
                            </w:r>
                            <w:r w:rsidRPr="009006B6">
                              <w:rPr>
                                <w:rFonts w:ascii="Abadi" w:hAnsi="Abadi"/>
                                <w:color w:val="FFFFFF" w:themeColor="background1"/>
                              </w:rPr>
                              <w:t xml:space="preserve">council </w:t>
                            </w:r>
                            <w:r w:rsidR="00A50F05">
                              <w:rPr>
                                <w:rFonts w:ascii="Abadi" w:hAnsi="Abadi"/>
                                <w:color w:val="FFFFFF" w:themeColor="background1"/>
                              </w:rPr>
                              <w:t xml:space="preserve">owned </w:t>
                            </w:r>
                            <w:r w:rsidRPr="009006B6">
                              <w:rPr>
                                <w:rFonts w:ascii="Abadi" w:hAnsi="Abadi"/>
                                <w:color w:val="FFFFFF" w:themeColor="background1"/>
                              </w:rPr>
                              <w:t xml:space="preserve">housing. Since the introduction of Self-Financing in April 2012 the </w:t>
                            </w:r>
                            <w:r w:rsidR="00A50F05">
                              <w:rPr>
                                <w:rFonts w:ascii="Abadi" w:hAnsi="Abadi"/>
                                <w:color w:val="FFFFFF" w:themeColor="background1"/>
                              </w:rPr>
                              <w:t>C</w:t>
                            </w:r>
                            <w:r w:rsidRPr="009006B6">
                              <w:rPr>
                                <w:rFonts w:ascii="Abadi" w:hAnsi="Abadi"/>
                                <w:color w:val="FFFFFF" w:themeColor="background1"/>
                              </w:rPr>
                              <w:t>ouncil has been able to keep all the income generated by its council housing. It has to be kept in the Housing Revenue Account and used for the purpose of maintaining and investing in council housing and delivering services to tenants.</w:t>
                            </w:r>
                          </w:p>
                          <w:p w14:paraId="699F8D30" w14:textId="7E161FFB" w:rsidR="00E03748" w:rsidRDefault="00DC14B2" w:rsidP="00E03748">
                            <w:pPr>
                              <w:spacing w:after="120"/>
                              <w:rPr>
                                <w:rFonts w:ascii="Abadi" w:hAnsi="Abadi"/>
                                <w:i/>
                                <w:iCs/>
                                <w:color w:val="FFFFFF" w:themeColor="background1"/>
                              </w:rPr>
                            </w:pPr>
                            <w:r>
                              <w:rPr>
                                <w:rFonts w:ascii="Abadi" w:hAnsi="Abadi"/>
                                <w:color w:val="FFFFFF" w:themeColor="background1"/>
                              </w:rPr>
                              <w:t>T</w:t>
                            </w:r>
                            <w:r w:rsidR="00E03748" w:rsidRPr="00E03748">
                              <w:rPr>
                                <w:rFonts w:ascii="Abadi" w:hAnsi="Abadi"/>
                                <w:color w:val="FFFFFF" w:themeColor="background1"/>
                              </w:rPr>
                              <w:t xml:space="preserve">he HRA Business Plan sets out the money available for us to manage and invest in our existing social housing homes, while also funding the building of new council homes in the city. Crucially, it helps us deliver our ambitions for being </w:t>
                            </w:r>
                            <w:r w:rsidR="00E03748" w:rsidRPr="00E03748">
                              <w:rPr>
                                <w:rFonts w:ascii="Abadi" w:hAnsi="Abadi"/>
                                <w:i/>
                                <w:iCs/>
                                <w:color w:val="FFFFFF" w:themeColor="background1"/>
                              </w:rPr>
                              <w:t>“a high-performing landlord, providing good quality homes and services that support thriving places and communities”.</w:t>
                            </w:r>
                          </w:p>
                          <w:p w14:paraId="76F60F05" w14:textId="77777777" w:rsidR="00E03748" w:rsidRPr="00E03748" w:rsidRDefault="00E03748" w:rsidP="00E03748">
                            <w:pPr>
                              <w:rPr>
                                <w:rFonts w:ascii="Abadi" w:hAnsi="Abadi"/>
                                <w:color w:val="FFFFFF" w:themeColor="background1"/>
                              </w:rPr>
                            </w:pPr>
                            <w:r w:rsidRPr="00E03748">
                              <w:rPr>
                                <w:rFonts w:ascii="Abadi" w:hAnsi="Abadi"/>
                                <w:color w:val="FFFFFF" w:themeColor="background1"/>
                              </w:rPr>
                              <w:t>The HRA Business Plan helps facilitate our work in:</w:t>
                            </w:r>
                          </w:p>
                          <w:p w14:paraId="58AB1D83" w14:textId="7C0BD6EE"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Providing housing management, repair and maintenance, and neighbourhood management services for tenants.</w:t>
                            </w:r>
                          </w:p>
                          <w:p w14:paraId="37981D9B" w14:textId="6648994C"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Investing in existing homes and estates:</w:t>
                            </w:r>
                          </w:p>
                          <w:p w14:paraId="61B4962D" w14:textId="20407AFC" w:rsidR="00E03748" w:rsidRPr="00E03748" w:rsidRDefault="00DC14B2" w:rsidP="00DC14B2">
                            <w:pPr>
                              <w:pStyle w:val="ListParagraph"/>
                              <w:numPr>
                                <w:ilvl w:val="1"/>
                                <w:numId w:val="32"/>
                              </w:numPr>
                              <w:ind w:left="993" w:hanging="284"/>
                              <w:rPr>
                                <w:rFonts w:ascii="Abadi" w:hAnsi="Abadi"/>
                                <w:color w:val="FFFFFF" w:themeColor="background1"/>
                              </w:rPr>
                            </w:pPr>
                            <w:r>
                              <w:rPr>
                                <w:rFonts w:ascii="Abadi" w:hAnsi="Abadi"/>
                                <w:color w:val="FFFFFF" w:themeColor="background1"/>
                              </w:rPr>
                              <w:t>so</w:t>
                            </w:r>
                            <w:r w:rsidR="00E03748" w:rsidRPr="00E03748">
                              <w:rPr>
                                <w:rFonts w:ascii="Abadi" w:hAnsi="Abadi"/>
                                <w:color w:val="FFFFFF" w:themeColor="background1"/>
                              </w:rPr>
                              <w:t xml:space="preserve"> they are well managed, safe, and maintained at the Decent Homes Standard.</w:t>
                            </w:r>
                          </w:p>
                          <w:p w14:paraId="67F23880" w14:textId="70A9FA7D" w:rsidR="00E03748" w:rsidRPr="00E03748" w:rsidRDefault="00E03748" w:rsidP="00DC14B2">
                            <w:pPr>
                              <w:pStyle w:val="ListParagraph"/>
                              <w:numPr>
                                <w:ilvl w:val="1"/>
                                <w:numId w:val="32"/>
                              </w:numPr>
                              <w:ind w:left="993" w:hanging="284"/>
                              <w:rPr>
                                <w:rFonts w:ascii="Abadi" w:hAnsi="Abadi"/>
                                <w:color w:val="FFFFFF" w:themeColor="background1"/>
                              </w:rPr>
                            </w:pPr>
                            <w:r w:rsidRPr="00E03748">
                              <w:rPr>
                                <w:rFonts w:ascii="Abadi" w:hAnsi="Abadi"/>
                                <w:color w:val="FFFFFF" w:themeColor="background1"/>
                              </w:rPr>
                              <w:t>so they are improved to meet new standards and expectations around energy efficiency and modern features and facilities.</w:t>
                            </w:r>
                          </w:p>
                          <w:p w14:paraId="27B1D548" w14:textId="12DA1545" w:rsidR="00E03748" w:rsidRPr="009C370F" w:rsidRDefault="00E03748" w:rsidP="006C3D44">
                            <w:pPr>
                              <w:pStyle w:val="ListParagraph"/>
                              <w:numPr>
                                <w:ilvl w:val="1"/>
                                <w:numId w:val="31"/>
                              </w:numPr>
                              <w:ind w:left="567" w:hanging="283"/>
                              <w:rPr>
                                <w:rFonts w:ascii="Abadi" w:hAnsi="Abadi"/>
                                <w:color w:val="FFFFFF" w:themeColor="background1"/>
                              </w:rPr>
                            </w:pPr>
                            <w:r w:rsidRPr="009C370F">
                              <w:rPr>
                                <w:rFonts w:ascii="Abadi" w:hAnsi="Abadi"/>
                                <w:color w:val="FFFFFF" w:themeColor="background1"/>
                              </w:rPr>
                              <w:t>Building new homes so we can provide a range of much-needed additional good quality affordable social housing for residents living in the 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D0C3165" id="_x0000_t202" coordsize="21600,21600" o:spt="202" path="m,l,21600r21600,l21600,xe">
                <v:stroke joinstyle="miter"/>
                <v:path gradientshapeok="t" o:connecttype="rect"/>
              </v:shapetype>
              <v:shape id="Text Box 2" o:spid="_x0000_s1026" type="#_x0000_t202" style="position:absolute;margin-left:0;margin-top:96.1pt;width:476.8pt;height:32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" fillcolor="#0070c0 [3206]" strokecolor="#0070c0 [3206]">
                <v:textbox>
                  <w:txbxContent>
                    <w:p w14:paraId="5E2CA278" w14:textId="77777777" w:rsidR="00210FE7" w:rsidRPr="00C33F95" w:rsidRDefault="00210FE7" w:rsidP="00210FE7">
                      <w:pPr>
                        <w:spacing w:after="120"/>
                        <w:rPr>
                          <w:rFonts w:ascii="Abadi" w:hAnsi="Abadi"/>
                          <w:b/>
                          <w:bCs/>
                          <w:color w:val="FFFFFF" w:themeColor="background1"/>
                          <w:sz w:val="28"/>
                          <w:szCs w:val="28"/>
                        </w:rPr>
                      </w:pPr>
                      <w:r w:rsidRPr="00C33F95">
                        <w:rPr>
                          <w:rFonts w:ascii="Abadi" w:hAnsi="Abadi"/>
                          <w:b/>
                          <w:bCs/>
                          <w:color w:val="FFFFFF" w:themeColor="background1"/>
                          <w:sz w:val="28"/>
                          <w:szCs w:val="28"/>
                        </w:rPr>
                        <w:t>About the Housing Revenue Account (the HRA)</w:t>
                      </w:r>
                    </w:p>
                    <w:p w14:paraId="6BD6ADFE" w14:textId="5D13DDB0" w:rsidR="009006B6" w:rsidRDefault="009006B6" w:rsidP="00E03748">
                      <w:pPr>
                        <w:spacing w:after="120"/>
                        <w:rPr>
                          <w:rFonts w:ascii="Abadi" w:hAnsi="Abadi"/>
                          <w:color w:val="FFFFFF" w:themeColor="background1"/>
                        </w:rPr>
                      </w:pPr>
                      <w:r w:rsidRPr="009006B6">
                        <w:rPr>
                          <w:rFonts w:ascii="Abadi" w:hAnsi="Abadi"/>
                          <w:color w:val="FFFFFF" w:themeColor="background1"/>
                        </w:rPr>
                        <w:t xml:space="preserve">The Housing Revenue Account is a ring-fenced account within the </w:t>
                      </w:r>
                      <w:r w:rsidR="00A50F05">
                        <w:rPr>
                          <w:rFonts w:ascii="Abadi" w:hAnsi="Abadi"/>
                          <w:color w:val="FFFFFF" w:themeColor="background1"/>
                        </w:rPr>
                        <w:t>C</w:t>
                      </w:r>
                      <w:r w:rsidRPr="009006B6">
                        <w:rPr>
                          <w:rFonts w:ascii="Abadi" w:hAnsi="Abadi"/>
                          <w:color w:val="FFFFFF" w:themeColor="background1"/>
                        </w:rPr>
                        <w:t>ouncil’s General Fund</w:t>
                      </w:r>
                      <w:r>
                        <w:rPr>
                          <w:rFonts w:ascii="Abadi" w:hAnsi="Abadi"/>
                          <w:color w:val="FFFFFF" w:themeColor="background1"/>
                        </w:rPr>
                        <w:t>. It i</w:t>
                      </w:r>
                      <w:r w:rsidRPr="009006B6">
                        <w:rPr>
                          <w:rFonts w:ascii="Abadi" w:hAnsi="Abadi"/>
                          <w:color w:val="FFFFFF" w:themeColor="background1"/>
                        </w:rPr>
                        <w:t xml:space="preserve">s used to account for transactions relating to </w:t>
                      </w:r>
                      <w:r w:rsidR="00A50F05">
                        <w:rPr>
                          <w:rFonts w:ascii="Abadi" w:hAnsi="Abadi"/>
                          <w:color w:val="FFFFFF" w:themeColor="background1"/>
                        </w:rPr>
                        <w:t xml:space="preserve">our </w:t>
                      </w:r>
                      <w:r w:rsidRPr="009006B6">
                        <w:rPr>
                          <w:rFonts w:ascii="Abadi" w:hAnsi="Abadi"/>
                          <w:color w:val="FFFFFF" w:themeColor="background1"/>
                        </w:rPr>
                        <w:t xml:space="preserve">council </w:t>
                      </w:r>
                      <w:r w:rsidR="00A50F05">
                        <w:rPr>
                          <w:rFonts w:ascii="Abadi" w:hAnsi="Abadi"/>
                          <w:color w:val="FFFFFF" w:themeColor="background1"/>
                        </w:rPr>
                        <w:t xml:space="preserve">owned </w:t>
                      </w:r>
                      <w:r w:rsidRPr="009006B6">
                        <w:rPr>
                          <w:rFonts w:ascii="Abadi" w:hAnsi="Abadi"/>
                          <w:color w:val="FFFFFF" w:themeColor="background1"/>
                        </w:rPr>
                        <w:t xml:space="preserve">housing. Since the introduction of Self-Financing in April 2012 the </w:t>
                      </w:r>
                      <w:r w:rsidR="00A50F05">
                        <w:rPr>
                          <w:rFonts w:ascii="Abadi" w:hAnsi="Abadi"/>
                          <w:color w:val="FFFFFF" w:themeColor="background1"/>
                        </w:rPr>
                        <w:t>C</w:t>
                      </w:r>
                      <w:r w:rsidRPr="009006B6">
                        <w:rPr>
                          <w:rFonts w:ascii="Abadi" w:hAnsi="Abadi"/>
                          <w:color w:val="FFFFFF" w:themeColor="background1"/>
                        </w:rPr>
                        <w:t>ouncil has been able to keep all the income generated by its council housing. It has to be kept in the Housing Revenue Account and used for the purpose of maintaining and investing in council housing and delivering services to tenants.</w:t>
                      </w:r>
                    </w:p>
                    <w:p w14:paraId="699F8D30" w14:textId="7E161FFB" w:rsidR="00E03748" w:rsidRDefault="00DC14B2" w:rsidP="00E03748">
                      <w:pPr>
                        <w:spacing w:after="120"/>
                        <w:rPr>
                          <w:rFonts w:ascii="Abadi" w:hAnsi="Abadi"/>
                          <w:i/>
                          <w:iCs/>
                          <w:color w:val="FFFFFF" w:themeColor="background1"/>
                        </w:rPr>
                      </w:pPr>
                      <w:r>
                        <w:rPr>
                          <w:rFonts w:ascii="Abadi" w:hAnsi="Abadi"/>
                          <w:color w:val="FFFFFF" w:themeColor="background1"/>
                        </w:rPr>
                        <w:t>T</w:t>
                      </w:r>
                      <w:r w:rsidR="00E03748" w:rsidRPr="00E03748">
                        <w:rPr>
                          <w:rFonts w:ascii="Abadi" w:hAnsi="Abadi"/>
                          <w:color w:val="FFFFFF" w:themeColor="background1"/>
                        </w:rPr>
                        <w:t xml:space="preserve">he HRA Business Plan sets out the money available for us to manage and invest in our existing social housing homes, while also funding the building of new council homes in the city. Crucially, it helps us deliver our ambitions for being </w:t>
                      </w:r>
                      <w:r w:rsidR="00E03748" w:rsidRPr="00E03748">
                        <w:rPr>
                          <w:rFonts w:ascii="Abadi" w:hAnsi="Abadi"/>
                          <w:i/>
                          <w:iCs/>
                          <w:color w:val="FFFFFF" w:themeColor="background1"/>
                        </w:rPr>
                        <w:t>“a high-performing landlord, providing good quality homes and services that support thriving places and communities”.</w:t>
                      </w:r>
                    </w:p>
                    <w:p w14:paraId="76F60F05" w14:textId="77777777" w:rsidR="00E03748" w:rsidRPr="00E03748" w:rsidRDefault="00E03748" w:rsidP="00E03748">
                      <w:pPr>
                        <w:rPr>
                          <w:rFonts w:ascii="Abadi" w:hAnsi="Abadi"/>
                          <w:color w:val="FFFFFF" w:themeColor="background1"/>
                        </w:rPr>
                      </w:pPr>
                      <w:r w:rsidRPr="00E03748">
                        <w:rPr>
                          <w:rFonts w:ascii="Abadi" w:hAnsi="Abadi"/>
                          <w:color w:val="FFFFFF" w:themeColor="background1"/>
                        </w:rPr>
                        <w:t>The HRA Business Plan helps facilitate our work in:</w:t>
                      </w:r>
                    </w:p>
                    <w:p w14:paraId="58AB1D83" w14:textId="7C0BD6EE"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Providing housing management, repair and maintenance, and neighbourhood management services for tenants.</w:t>
                      </w:r>
                    </w:p>
                    <w:p w14:paraId="37981D9B" w14:textId="6648994C" w:rsidR="00E03748" w:rsidRDefault="00E03748" w:rsidP="00E03748">
                      <w:pPr>
                        <w:pStyle w:val="ListParagraph"/>
                        <w:numPr>
                          <w:ilvl w:val="0"/>
                          <w:numId w:val="30"/>
                        </w:numPr>
                        <w:ind w:left="567" w:hanging="283"/>
                        <w:rPr>
                          <w:rFonts w:ascii="Abadi" w:hAnsi="Abadi"/>
                          <w:color w:val="FFFFFF" w:themeColor="background1"/>
                        </w:rPr>
                      </w:pPr>
                      <w:r w:rsidRPr="00E03748">
                        <w:rPr>
                          <w:rFonts w:ascii="Abadi" w:hAnsi="Abadi"/>
                          <w:color w:val="FFFFFF" w:themeColor="background1"/>
                        </w:rPr>
                        <w:t>Investing in existing homes and estates:</w:t>
                      </w:r>
                    </w:p>
                    <w:p w14:paraId="61B4962D" w14:textId="20407AFC" w:rsidR="00E03748" w:rsidRPr="00E03748" w:rsidRDefault="00DC14B2" w:rsidP="00DC14B2">
                      <w:pPr>
                        <w:pStyle w:val="ListParagraph"/>
                        <w:numPr>
                          <w:ilvl w:val="1"/>
                          <w:numId w:val="32"/>
                        </w:numPr>
                        <w:ind w:left="993" w:hanging="284"/>
                        <w:rPr>
                          <w:rFonts w:ascii="Abadi" w:hAnsi="Abadi"/>
                          <w:color w:val="FFFFFF" w:themeColor="background1"/>
                        </w:rPr>
                      </w:pPr>
                      <w:r>
                        <w:rPr>
                          <w:rFonts w:ascii="Abadi" w:hAnsi="Abadi"/>
                          <w:color w:val="FFFFFF" w:themeColor="background1"/>
                        </w:rPr>
                        <w:t>so</w:t>
                      </w:r>
                      <w:r w:rsidR="00E03748" w:rsidRPr="00E03748">
                        <w:rPr>
                          <w:rFonts w:ascii="Abadi" w:hAnsi="Abadi"/>
                          <w:color w:val="FFFFFF" w:themeColor="background1"/>
                        </w:rPr>
                        <w:t xml:space="preserve"> they are well managed, safe, and maintained at the Decent Homes Standard.</w:t>
                      </w:r>
                    </w:p>
                    <w:p w14:paraId="67F23880" w14:textId="70A9FA7D" w:rsidR="00E03748" w:rsidRPr="00E03748" w:rsidRDefault="00E03748" w:rsidP="00DC14B2">
                      <w:pPr>
                        <w:pStyle w:val="ListParagraph"/>
                        <w:numPr>
                          <w:ilvl w:val="1"/>
                          <w:numId w:val="32"/>
                        </w:numPr>
                        <w:ind w:left="993" w:hanging="284"/>
                        <w:rPr>
                          <w:rFonts w:ascii="Abadi" w:hAnsi="Abadi"/>
                          <w:color w:val="FFFFFF" w:themeColor="background1"/>
                        </w:rPr>
                      </w:pPr>
                      <w:r w:rsidRPr="00E03748">
                        <w:rPr>
                          <w:rFonts w:ascii="Abadi" w:hAnsi="Abadi"/>
                          <w:color w:val="FFFFFF" w:themeColor="background1"/>
                        </w:rPr>
                        <w:t>so they are improved to meet new standards and expectations around energy efficiency and modern features and facilities.</w:t>
                      </w:r>
                    </w:p>
                    <w:p w14:paraId="27B1D548" w14:textId="12DA1545" w:rsidR="00E03748" w:rsidRPr="009C370F" w:rsidRDefault="00E03748" w:rsidP="006C3D44">
                      <w:pPr>
                        <w:pStyle w:val="ListParagraph"/>
                        <w:numPr>
                          <w:ilvl w:val="1"/>
                          <w:numId w:val="31"/>
                        </w:numPr>
                        <w:ind w:left="567" w:hanging="283"/>
                        <w:rPr>
                          <w:rFonts w:ascii="Abadi" w:hAnsi="Abadi"/>
                          <w:color w:val="FFFFFF" w:themeColor="background1"/>
                        </w:rPr>
                      </w:pPr>
                      <w:r w:rsidRPr="009C370F">
                        <w:rPr>
                          <w:rFonts w:ascii="Abadi" w:hAnsi="Abadi"/>
                          <w:color w:val="FFFFFF" w:themeColor="background1"/>
                        </w:rPr>
                        <w:t>Building new homes so we can provide a range of much-needed additional good quality affordable social housing for residents living in the city.</w:t>
                      </w:r>
                    </w:p>
                  </w:txbxContent>
                </v:textbox>
                <w10:wrap type="square" anchorx="margin"/>
              </v:shape>
            </w:pict>
          </mc:Fallback>
        </mc:AlternateContent>
      </w:r>
      <w:r w:rsidR="00320989">
        <w:rPr>
          <w:rFonts w:ascii="Noto Sans" w:eastAsia="Calibri" w:hAnsi="Noto Sans" w:cs="Noto Sans"/>
          <w:noProof/>
          <w:lang w:val="en-US" w:eastAsia="en-GB"/>
        </w:rPr>
        <w:drawing>
          <wp:inline distT="0" distB="0" distL="0" distR="0" wp14:anchorId="6A59EC10" wp14:editId="7D75B646">
            <wp:extent cx="5727700" cy="1080577"/>
            <wp:effectExtent l="0" t="0" r="6350" b="0"/>
            <wp:docPr id="1430813363" name="Picture 1" descr="A blue do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813363" name="Picture 1" descr="A blue dot on a black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1080577"/>
                    </a:xfrm>
                    <a:prstGeom prst="rect">
                      <a:avLst/>
                    </a:prstGeom>
                    <a:noFill/>
                  </pic:spPr>
                </pic:pic>
              </a:graphicData>
            </a:graphic>
          </wp:inline>
        </w:drawing>
      </w:r>
    </w:p>
    <w:p w14:paraId="196D5FD6" w14:textId="43B57FE4" w:rsidR="005905CB" w:rsidRDefault="000C3853" w:rsidP="00DC14B2">
      <w:pPr>
        <w:spacing w:after="120"/>
        <w:rPr>
          <w:rFonts w:ascii="Noto Sans" w:eastAsia="Calibri" w:hAnsi="Noto Sans" w:cs="Noto Sans"/>
          <w:lang w:val="en-US" w:eastAsia="en-GB"/>
        </w:rPr>
      </w:pPr>
      <w:r>
        <w:rPr>
          <w:rFonts w:ascii="Noto Sans" w:eastAsia="Calibri" w:hAnsi="Noto Sans" w:cs="Noto Sans"/>
          <w:lang w:val="en-US" w:eastAsia="en-GB"/>
        </w:rPr>
        <w:lastRenderedPageBreak/>
        <w:t>T</w:t>
      </w:r>
      <w:r w:rsidR="005905CB" w:rsidRPr="00CC74C3">
        <w:rPr>
          <w:rFonts w:ascii="Noto Sans" w:eastAsia="Calibri" w:hAnsi="Noto Sans" w:cs="Noto Sans"/>
          <w:lang w:val="en-US" w:eastAsia="en-GB"/>
        </w:rPr>
        <w:t xml:space="preserve">he financial position of </w:t>
      </w:r>
      <w:r w:rsidR="007C7206">
        <w:rPr>
          <w:rFonts w:ascii="Noto Sans" w:eastAsia="Calibri" w:hAnsi="Noto Sans" w:cs="Noto Sans"/>
          <w:lang w:val="en-US" w:eastAsia="en-GB"/>
        </w:rPr>
        <w:t>the</w:t>
      </w:r>
      <w:r w:rsidR="005905CB" w:rsidRPr="00CC74C3">
        <w:rPr>
          <w:rFonts w:ascii="Noto Sans" w:eastAsia="Calibri" w:hAnsi="Noto Sans" w:cs="Noto Sans"/>
          <w:lang w:val="en-US" w:eastAsia="en-GB"/>
        </w:rPr>
        <w:t xml:space="preserve"> HRA varies in line with changes in economic conditions, decisions made by the </w:t>
      </w:r>
      <w:r w:rsidR="007C7206">
        <w:rPr>
          <w:rFonts w:ascii="Noto Sans" w:eastAsia="Calibri" w:hAnsi="Noto Sans" w:cs="Noto Sans"/>
          <w:lang w:val="en-US" w:eastAsia="en-GB"/>
        </w:rPr>
        <w:t>C</w:t>
      </w:r>
      <w:r w:rsidR="005905CB" w:rsidRPr="00CC74C3">
        <w:rPr>
          <w:rFonts w:ascii="Noto Sans" w:eastAsia="Calibri" w:hAnsi="Noto Sans" w:cs="Noto Sans"/>
          <w:lang w:val="en-US" w:eastAsia="en-GB"/>
        </w:rPr>
        <w:t xml:space="preserve">ouncil itself and </w:t>
      </w:r>
      <w:r w:rsidR="005460F6" w:rsidRPr="00CC74C3">
        <w:rPr>
          <w:rFonts w:ascii="Noto Sans" w:eastAsia="Calibri" w:hAnsi="Noto Sans" w:cs="Noto Sans"/>
          <w:lang w:val="en-US" w:eastAsia="en-GB"/>
        </w:rPr>
        <w:t>n</w:t>
      </w:r>
      <w:r w:rsidR="005905CB" w:rsidRPr="00CC74C3">
        <w:rPr>
          <w:rFonts w:ascii="Noto Sans" w:eastAsia="Calibri" w:hAnsi="Noto Sans" w:cs="Noto Sans"/>
          <w:lang w:val="en-US" w:eastAsia="en-GB"/>
        </w:rPr>
        <w:t xml:space="preserve">ational policy announcements. </w:t>
      </w:r>
      <w:r w:rsidR="005460F6" w:rsidRPr="00CC74C3">
        <w:rPr>
          <w:rFonts w:ascii="Noto Sans" w:eastAsia="Calibri" w:hAnsi="Noto Sans" w:cs="Noto Sans"/>
          <w:lang w:val="en-US" w:eastAsia="en-GB"/>
        </w:rPr>
        <w:t xml:space="preserve">This means we </w:t>
      </w:r>
      <w:r w:rsidR="007C7206">
        <w:rPr>
          <w:rFonts w:ascii="Noto Sans" w:eastAsia="Calibri" w:hAnsi="Noto Sans" w:cs="Noto Sans"/>
          <w:lang w:val="en-US" w:eastAsia="en-GB"/>
        </w:rPr>
        <w:t>should</w:t>
      </w:r>
      <w:r w:rsidR="002A40A9" w:rsidRPr="00CC74C3">
        <w:rPr>
          <w:rFonts w:ascii="Noto Sans" w:eastAsia="Calibri" w:hAnsi="Noto Sans" w:cs="Noto Sans"/>
          <w:lang w:val="en-US" w:eastAsia="en-GB"/>
        </w:rPr>
        <w:t xml:space="preserve"> </w:t>
      </w:r>
      <w:r w:rsidR="005460F6" w:rsidRPr="00CC74C3">
        <w:rPr>
          <w:rFonts w:ascii="Noto Sans" w:eastAsia="Calibri" w:hAnsi="Noto Sans" w:cs="Noto Sans"/>
          <w:lang w:val="en-US" w:eastAsia="en-GB"/>
        </w:rPr>
        <w:t xml:space="preserve">keep the </w:t>
      </w:r>
      <w:r w:rsidR="002A40A9" w:rsidRPr="00CC74C3">
        <w:rPr>
          <w:rFonts w:ascii="Noto Sans" w:eastAsia="Calibri" w:hAnsi="Noto Sans" w:cs="Noto Sans"/>
          <w:lang w:val="en-US" w:eastAsia="en-GB"/>
        </w:rPr>
        <w:t>HRA Business Plan</w:t>
      </w:r>
      <w:r w:rsidR="005905CB" w:rsidRPr="00CC74C3">
        <w:rPr>
          <w:rFonts w:ascii="Noto Sans" w:eastAsia="Calibri" w:hAnsi="Noto Sans" w:cs="Noto Sans"/>
          <w:lang w:val="en-US" w:eastAsia="en-GB"/>
        </w:rPr>
        <w:t xml:space="preserve"> u</w:t>
      </w:r>
      <w:r w:rsidR="008564E0" w:rsidRPr="00CC74C3">
        <w:rPr>
          <w:rFonts w:ascii="Noto Sans" w:eastAsia="Calibri" w:hAnsi="Noto Sans" w:cs="Noto Sans"/>
          <w:lang w:val="en-US" w:eastAsia="en-GB"/>
        </w:rPr>
        <w:t xml:space="preserve">nder </w:t>
      </w:r>
      <w:r w:rsidR="007C7206">
        <w:rPr>
          <w:rFonts w:ascii="Noto Sans" w:eastAsia="Calibri" w:hAnsi="Noto Sans" w:cs="Noto Sans"/>
          <w:lang w:val="en-US" w:eastAsia="en-GB"/>
        </w:rPr>
        <w:t xml:space="preserve">regular </w:t>
      </w:r>
      <w:r w:rsidR="008564E0" w:rsidRPr="00CC74C3">
        <w:rPr>
          <w:rFonts w:ascii="Noto Sans" w:eastAsia="Calibri" w:hAnsi="Noto Sans" w:cs="Noto Sans"/>
          <w:lang w:val="en-US" w:eastAsia="en-GB"/>
        </w:rPr>
        <w:t>review</w:t>
      </w:r>
      <w:r w:rsidR="002A40A9" w:rsidRPr="00CC74C3">
        <w:rPr>
          <w:rFonts w:ascii="Noto Sans" w:eastAsia="Calibri" w:hAnsi="Noto Sans" w:cs="Noto Sans"/>
          <w:lang w:val="en-US" w:eastAsia="en-GB"/>
        </w:rPr>
        <w:t xml:space="preserve"> so</w:t>
      </w:r>
      <w:r w:rsidR="005905CB" w:rsidRPr="00CC74C3">
        <w:rPr>
          <w:rFonts w:ascii="Noto Sans" w:eastAsia="Calibri" w:hAnsi="Noto Sans" w:cs="Noto Sans"/>
          <w:lang w:val="en-US" w:eastAsia="en-GB"/>
        </w:rPr>
        <w:t xml:space="preserve"> the financial projections </w:t>
      </w:r>
      <w:r w:rsidR="008564E0" w:rsidRPr="00CC74C3">
        <w:rPr>
          <w:rFonts w:ascii="Noto Sans" w:eastAsia="Calibri" w:hAnsi="Noto Sans" w:cs="Noto Sans"/>
          <w:lang w:val="en-US" w:eastAsia="en-GB"/>
        </w:rPr>
        <w:t>can be updated to take</w:t>
      </w:r>
      <w:r w:rsidR="005905CB" w:rsidRPr="00CC74C3">
        <w:rPr>
          <w:rFonts w:ascii="Noto Sans" w:eastAsia="Calibri" w:hAnsi="Noto Sans" w:cs="Noto Sans"/>
          <w:lang w:val="en-US" w:eastAsia="en-GB"/>
        </w:rPr>
        <w:t xml:space="preserve"> account </w:t>
      </w:r>
      <w:r w:rsidR="008564E0" w:rsidRPr="00CC74C3">
        <w:rPr>
          <w:rFonts w:ascii="Noto Sans" w:eastAsia="Calibri" w:hAnsi="Noto Sans" w:cs="Noto Sans"/>
          <w:lang w:val="en-US" w:eastAsia="en-GB"/>
        </w:rPr>
        <w:t xml:space="preserve">of </w:t>
      </w:r>
      <w:r w:rsidR="005905CB" w:rsidRPr="00CC74C3">
        <w:rPr>
          <w:rFonts w:ascii="Noto Sans" w:eastAsia="Calibri" w:hAnsi="Noto Sans" w:cs="Noto Sans"/>
          <w:lang w:val="en-US" w:eastAsia="en-GB"/>
        </w:rPr>
        <w:t xml:space="preserve">changes in circumstances. This </w:t>
      </w:r>
      <w:r w:rsidR="002A40A9" w:rsidRPr="00CC74C3">
        <w:rPr>
          <w:rFonts w:ascii="Noto Sans" w:eastAsia="Calibri" w:hAnsi="Noto Sans" w:cs="Noto Sans"/>
          <w:lang w:val="en-US" w:eastAsia="en-GB"/>
        </w:rPr>
        <w:t xml:space="preserve">will </w:t>
      </w:r>
      <w:r w:rsidR="005905CB" w:rsidRPr="00CC74C3">
        <w:rPr>
          <w:rFonts w:ascii="Noto Sans" w:eastAsia="Calibri" w:hAnsi="Noto Sans" w:cs="Noto Sans"/>
          <w:lang w:val="en-US" w:eastAsia="en-GB"/>
        </w:rPr>
        <w:t xml:space="preserve">enable </w:t>
      </w:r>
      <w:r w:rsidR="007C7206">
        <w:rPr>
          <w:rFonts w:ascii="Noto Sans" w:eastAsia="Calibri" w:hAnsi="Noto Sans" w:cs="Noto Sans"/>
          <w:lang w:val="en-US" w:eastAsia="en-GB"/>
        </w:rPr>
        <w:t xml:space="preserve">us </w:t>
      </w:r>
      <w:r w:rsidR="005905CB" w:rsidRPr="00CC74C3">
        <w:rPr>
          <w:rFonts w:ascii="Noto Sans" w:eastAsia="Calibri" w:hAnsi="Noto Sans" w:cs="Noto Sans"/>
          <w:lang w:val="en-US" w:eastAsia="en-GB"/>
        </w:rPr>
        <w:t xml:space="preserve">to identify any underlying risks and opportunities at an early stage and make decisions that </w:t>
      </w:r>
      <w:proofErr w:type="spellStart"/>
      <w:r w:rsidR="005905CB" w:rsidRPr="00CC74C3">
        <w:rPr>
          <w:rFonts w:ascii="Noto Sans" w:eastAsia="Calibri" w:hAnsi="Noto Sans" w:cs="Noto Sans"/>
          <w:lang w:val="en-US" w:eastAsia="en-GB"/>
        </w:rPr>
        <w:t>optimise</w:t>
      </w:r>
      <w:proofErr w:type="spellEnd"/>
      <w:r w:rsidR="005905CB" w:rsidRPr="00CC74C3">
        <w:rPr>
          <w:rFonts w:ascii="Noto Sans" w:eastAsia="Calibri" w:hAnsi="Noto Sans" w:cs="Noto Sans"/>
          <w:lang w:val="en-US" w:eastAsia="en-GB"/>
        </w:rPr>
        <w:t xml:space="preserve"> the position of</w:t>
      </w:r>
      <w:r w:rsidR="00C529C9">
        <w:rPr>
          <w:rFonts w:ascii="Noto Sans" w:eastAsia="Calibri" w:hAnsi="Noto Sans" w:cs="Noto Sans"/>
          <w:lang w:val="en-US" w:eastAsia="en-GB"/>
        </w:rPr>
        <w:t xml:space="preserve"> </w:t>
      </w:r>
      <w:proofErr w:type="spellStart"/>
      <w:r w:rsidR="00C529C9">
        <w:rPr>
          <w:rFonts w:ascii="Noto Sans" w:eastAsia="Calibri" w:hAnsi="Noto Sans" w:cs="Noto Sans"/>
          <w:lang w:val="en-US" w:eastAsia="en-GB"/>
        </w:rPr>
        <w:t>the</w:t>
      </w:r>
      <w:r w:rsidR="005905CB" w:rsidRPr="00CC74C3">
        <w:rPr>
          <w:rFonts w:ascii="Noto Sans" w:eastAsia="Calibri" w:hAnsi="Noto Sans" w:cs="Noto Sans"/>
          <w:lang w:val="en-US" w:eastAsia="en-GB"/>
        </w:rPr>
        <w:t>HRA</w:t>
      </w:r>
      <w:proofErr w:type="spellEnd"/>
      <w:r w:rsidR="005905CB" w:rsidRPr="00CC74C3">
        <w:rPr>
          <w:rFonts w:ascii="Noto Sans" w:eastAsia="Calibri" w:hAnsi="Noto Sans" w:cs="Noto Sans"/>
          <w:lang w:val="en-US" w:eastAsia="en-GB"/>
        </w:rPr>
        <w:t xml:space="preserve"> over the short, medium and long terms.</w:t>
      </w:r>
    </w:p>
    <w:p w14:paraId="63805E57" w14:textId="32AD9186" w:rsidR="00C35673" w:rsidRPr="00C35673" w:rsidRDefault="00D904F4" w:rsidP="00DC14B2">
      <w:pPr>
        <w:spacing w:after="120"/>
        <w:rPr>
          <w:rFonts w:ascii="Noto Sans" w:eastAsia="Calibri" w:hAnsi="Noto Sans" w:cs="Noto Sans"/>
          <w:lang w:val="en-US" w:eastAsia="en-GB"/>
        </w:rPr>
      </w:pPr>
      <w:r>
        <w:rPr>
          <w:rFonts w:ascii="Noto Sans" w:eastAsia="Calibri" w:hAnsi="Noto Sans" w:cs="Noto Sans"/>
          <w:lang w:val="en-US" w:eastAsia="en-GB"/>
        </w:rPr>
        <w:t xml:space="preserve">It is </w:t>
      </w:r>
      <w:r w:rsidR="00FF619C">
        <w:rPr>
          <w:rFonts w:ascii="Noto Sans" w:eastAsia="Calibri" w:hAnsi="Noto Sans" w:cs="Noto Sans"/>
          <w:lang w:val="en-US" w:eastAsia="en-GB"/>
        </w:rPr>
        <w:t>important</w:t>
      </w:r>
      <w:r>
        <w:rPr>
          <w:rFonts w:ascii="Noto Sans" w:eastAsia="Calibri" w:hAnsi="Noto Sans" w:cs="Noto Sans"/>
          <w:lang w:val="en-US" w:eastAsia="en-GB"/>
        </w:rPr>
        <w:t xml:space="preserve"> that we</w:t>
      </w:r>
      <w:r w:rsidRPr="00D904F4">
        <w:rPr>
          <w:rFonts w:ascii="Noto Sans" w:eastAsia="Calibri" w:hAnsi="Noto Sans" w:cs="Noto Sans"/>
          <w:lang w:val="en-US" w:eastAsia="en-GB"/>
        </w:rPr>
        <w:t xml:space="preserve"> use adjustments to the outlook for the HRA to inform the </w:t>
      </w:r>
      <w:r w:rsidR="00F55047">
        <w:rPr>
          <w:rFonts w:ascii="Noto Sans" w:eastAsia="Calibri" w:hAnsi="Noto Sans" w:cs="Noto Sans"/>
          <w:lang w:val="en-US" w:eastAsia="en-GB"/>
        </w:rPr>
        <w:t>‘</w:t>
      </w:r>
      <w:r w:rsidRPr="00D904F4">
        <w:rPr>
          <w:rFonts w:ascii="Noto Sans" w:eastAsia="Calibri" w:hAnsi="Noto Sans" w:cs="Noto Sans"/>
          <w:lang w:val="en-US" w:eastAsia="en-GB"/>
        </w:rPr>
        <w:t>choices</w:t>
      </w:r>
      <w:r w:rsidR="00F55047">
        <w:rPr>
          <w:rFonts w:ascii="Noto Sans" w:eastAsia="Calibri" w:hAnsi="Noto Sans" w:cs="Noto Sans"/>
          <w:lang w:val="en-US" w:eastAsia="en-GB"/>
        </w:rPr>
        <w:t>’</w:t>
      </w:r>
      <w:r w:rsidRPr="00D904F4">
        <w:rPr>
          <w:rFonts w:ascii="Noto Sans" w:eastAsia="Calibri" w:hAnsi="Noto Sans" w:cs="Noto Sans"/>
          <w:lang w:val="en-US" w:eastAsia="en-GB"/>
        </w:rPr>
        <w:t xml:space="preserve"> we make for the future delivery of services and investment. </w:t>
      </w:r>
      <w:r w:rsidR="00F55047">
        <w:rPr>
          <w:rFonts w:ascii="Noto Sans" w:eastAsia="Calibri" w:hAnsi="Noto Sans" w:cs="Noto Sans"/>
          <w:lang w:val="en-US" w:eastAsia="en-GB"/>
        </w:rPr>
        <w:t>These choices are crucial, as</w:t>
      </w:r>
      <w:r w:rsidR="00C35673" w:rsidRPr="00C35673">
        <w:rPr>
          <w:rFonts w:ascii="Noto Sans" w:eastAsia="Calibri" w:hAnsi="Noto Sans" w:cs="Noto Sans"/>
          <w:lang w:val="en-US" w:eastAsia="en-GB"/>
        </w:rPr>
        <w:t xml:space="preserve"> the </w:t>
      </w:r>
      <w:r w:rsidR="00F55047">
        <w:rPr>
          <w:rFonts w:ascii="Noto Sans" w:eastAsia="Calibri" w:hAnsi="Noto Sans" w:cs="Noto Sans"/>
          <w:lang w:val="en-US" w:eastAsia="en-GB"/>
        </w:rPr>
        <w:t xml:space="preserve">current </w:t>
      </w:r>
      <w:r w:rsidR="00C35673" w:rsidRPr="00C35673">
        <w:rPr>
          <w:rFonts w:ascii="Noto Sans" w:eastAsia="Calibri" w:hAnsi="Noto Sans" w:cs="Noto Sans"/>
          <w:lang w:val="en-US" w:eastAsia="en-GB"/>
        </w:rPr>
        <w:t xml:space="preserve">projections indicate a need for </w:t>
      </w:r>
      <w:r w:rsidR="00F55047">
        <w:rPr>
          <w:rFonts w:ascii="Noto Sans" w:eastAsia="Calibri" w:hAnsi="Noto Sans" w:cs="Noto Sans"/>
          <w:lang w:val="en-US" w:eastAsia="en-GB"/>
        </w:rPr>
        <w:t>us</w:t>
      </w:r>
      <w:r w:rsidR="00C35673" w:rsidRPr="00C35673">
        <w:rPr>
          <w:rFonts w:ascii="Noto Sans" w:eastAsia="Calibri" w:hAnsi="Noto Sans" w:cs="Noto Sans"/>
          <w:lang w:val="en-US" w:eastAsia="en-GB"/>
        </w:rPr>
        <w:t xml:space="preserve"> to take mitigating action to safeguard the financial sustainability of </w:t>
      </w:r>
      <w:r w:rsidR="00F55047">
        <w:rPr>
          <w:rFonts w:ascii="Noto Sans" w:eastAsia="Calibri" w:hAnsi="Noto Sans" w:cs="Noto Sans"/>
          <w:lang w:val="en-US" w:eastAsia="en-GB"/>
        </w:rPr>
        <w:t>the</w:t>
      </w:r>
      <w:r w:rsidR="00C35673" w:rsidRPr="00C35673">
        <w:rPr>
          <w:rFonts w:ascii="Noto Sans" w:eastAsia="Calibri" w:hAnsi="Noto Sans" w:cs="Noto Sans"/>
          <w:lang w:val="en-US" w:eastAsia="en-GB"/>
        </w:rPr>
        <w:t xml:space="preserve"> HRA</w:t>
      </w:r>
      <w:r w:rsidR="00F55047">
        <w:rPr>
          <w:rFonts w:ascii="Noto Sans" w:eastAsia="Calibri" w:hAnsi="Noto Sans" w:cs="Noto Sans"/>
          <w:lang w:val="en-US" w:eastAsia="en-GB"/>
        </w:rPr>
        <w:t>.</w:t>
      </w:r>
    </w:p>
    <w:p w14:paraId="542DA43B" w14:textId="508A71C7" w:rsidR="00C35673" w:rsidRPr="00CC74C3" w:rsidRDefault="00C35673" w:rsidP="00DC14B2">
      <w:pPr>
        <w:spacing w:after="120"/>
        <w:rPr>
          <w:rFonts w:ascii="Noto Sans" w:eastAsia="Calibri" w:hAnsi="Noto Sans" w:cs="Noto Sans"/>
          <w:lang w:val="en-US" w:eastAsia="en-GB"/>
        </w:rPr>
      </w:pPr>
      <w:r w:rsidRPr="00C35673">
        <w:rPr>
          <w:rFonts w:ascii="Noto Sans" w:eastAsia="Calibri" w:hAnsi="Noto Sans" w:cs="Noto Sans"/>
          <w:lang w:val="en-US" w:eastAsia="en-GB"/>
        </w:rPr>
        <w:t xml:space="preserve">Since the </w:t>
      </w:r>
      <w:r w:rsidR="00F55047">
        <w:rPr>
          <w:rFonts w:ascii="Noto Sans" w:eastAsia="Calibri" w:hAnsi="Noto Sans" w:cs="Noto Sans"/>
          <w:lang w:val="en-US" w:eastAsia="en-GB"/>
        </w:rPr>
        <w:t xml:space="preserve">current </w:t>
      </w:r>
      <w:r w:rsidRPr="00C35673">
        <w:rPr>
          <w:rFonts w:ascii="Noto Sans" w:eastAsia="Calibri" w:hAnsi="Noto Sans" w:cs="Noto Sans"/>
          <w:lang w:val="en-US" w:eastAsia="en-GB"/>
        </w:rPr>
        <w:t>projections were produced, we have been told to expect changes to the underlying financial framework in the Budget announcements that are expected on 30 October</w:t>
      </w:r>
      <w:r w:rsidR="00F55047">
        <w:rPr>
          <w:rFonts w:ascii="Noto Sans" w:eastAsia="Calibri" w:hAnsi="Noto Sans" w:cs="Noto Sans"/>
          <w:lang w:val="en-US" w:eastAsia="en-GB"/>
        </w:rPr>
        <w:t xml:space="preserve"> 2024</w:t>
      </w:r>
      <w:r w:rsidRPr="00C35673">
        <w:rPr>
          <w:rFonts w:ascii="Noto Sans" w:eastAsia="Calibri" w:hAnsi="Noto Sans" w:cs="Noto Sans"/>
          <w:lang w:val="en-US" w:eastAsia="en-GB"/>
        </w:rPr>
        <w:t xml:space="preserve">. This is likely to impact on future rent increase assumptions and the framework for generating and using RTB receipts. It is possible that future funding for development, regeneration and </w:t>
      </w:r>
      <w:proofErr w:type="spellStart"/>
      <w:r w:rsidRPr="00C35673">
        <w:rPr>
          <w:rFonts w:ascii="Noto Sans" w:eastAsia="Calibri" w:hAnsi="Noto Sans" w:cs="Noto Sans"/>
          <w:lang w:val="en-US" w:eastAsia="en-GB"/>
        </w:rPr>
        <w:t>decarbonisation</w:t>
      </w:r>
      <w:proofErr w:type="spellEnd"/>
      <w:r w:rsidRPr="00C35673">
        <w:rPr>
          <w:rFonts w:ascii="Noto Sans" w:eastAsia="Calibri" w:hAnsi="Noto Sans" w:cs="Noto Sans"/>
          <w:lang w:val="en-US" w:eastAsia="en-GB"/>
        </w:rPr>
        <w:t xml:space="preserve"> investment may also be affected. Accordingly, </w:t>
      </w:r>
      <w:r w:rsidR="00F55047">
        <w:rPr>
          <w:rFonts w:ascii="Noto Sans" w:eastAsia="Calibri" w:hAnsi="Noto Sans" w:cs="Noto Sans"/>
          <w:lang w:val="en-US" w:eastAsia="en-GB"/>
        </w:rPr>
        <w:t xml:space="preserve">the </w:t>
      </w:r>
      <w:r w:rsidR="00D15CA8">
        <w:rPr>
          <w:rFonts w:ascii="Noto Sans" w:eastAsia="Calibri" w:hAnsi="Noto Sans" w:cs="Noto Sans"/>
          <w:lang w:val="en-US" w:eastAsia="en-GB"/>
        </w:rPr>
        <w:t xml:space="preserve">current </w:t>
      </w:r>
      <w:r w:rsidR="0043249F">
        <w:rPr>
          <w:rFonts w:ascii="Noto Sans" w:eastAsia="Calibri" w:hAnsi="Noto Sans" w:cs="Noto Sans"/>
          <w:lang w:val="en-US" w:eastAsia="en-GB"/>
        </w:rPr>
        <w:t>HRA Business Plan financials represent</w:t>
      </w:r>
      <w:r w:rsidRPr="00C35673">
        <w:rPr>
          <w:rFonts w:ascii="Noto Sans" w:eastAsia="Calibri" w:hAnsi="Noto Sans" w:cs="Noto Sans"/>
          <w:lang w:val="en-US" w:eastAsia="en-GB"/>
        </w:rPr>
        <w:t xml:space="preserve"> an interim position, pending further detail from the government.</w:t>
      </w:r>
    </w:p>
    <w:p w14:paraId="2BCFE46A" w14:textId="77777777" w:rsidR="004967F0" w:rsidRPr="00104AB5" w:rsidRDefault="004967F0" w:rsidP="004967F0">
      <w:pPr>
        <w:rPr>
          <w:rFonts w:ascii="Noto Sans" w:eastAsia="Calibri" w:hAnsi="Noto Sans" w:cs="Noto Sans"/>
          <w:i/>
          <w:sz w:val="8"/>
          <w:szCs w:val="8"/>
          <w:lang w:eastAsia="en-GB"/>
        </w:rPr>
      </w:pPr>
    </w:p>
    <w:p w14:paraId="3609179E" w14:textId="77777777" w:rsidR="004967F0" w:rsidRPr="00104AB5" w:rsidRDefault="004967F0" w:rsidP="004967F0">
      <w:pPr>
        <w:rPr>
          <w:rFonts w:ascii="Noto Sans" w:eastAsia="Calibri" w:hAnsi="Noto Sans" w:cs="Noto Sans"/>
          <w:sz w:val="8"/>
          <w:szCs w:val="8"/>
          <w:lang w:val="en-US" w:eastAsia="en-GB"/>
        </w:rPr>
      </w:pPr>
    </w:p>
    <w:p w14:paraId="040C5A7F" w14:textId="68F26E75" w:rsidR="00D30A5B" w:rsidRDefault="00D30A5B">
      <w:pPr>
        <w:rPr>
          <w:rFonts w:ascii="Noto Sans" w:eastAsia="Calibri" w:hAnsi="Noto Sans" w:cs="Noto Sans"/>
          <w:b/>
          <w:bCs/>
          <w:color w:val="0070C0" w:themeColor="accent1"/>
          <w:sz w:val="36"/>
          <w:szCs w:val="36"/>
          <w:lang w:val="en-US" w:eastAsia="en-GB"/>
        </w:rPr>
      </w:pPr>
    </w:p>
    <w:p w14:paraId="2B0FE687" w14:textId="77777777" w:rsidR="00637945" w:rsidRDefault="00637945">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13D17507" w14:textId="5F5AFF51" w:rsidR="00E133FB" w:rsidRDefault="00C84ACC"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Our operating context</w:t>
      </w:r>
    </w:p>
    <w:p w14:paraId="7B280308" w14:textId="49094610" w:rsidR="00E133FB" w:rsidRPr="00E133FB" w:rsidRDefault="00E133FB" w:rsidP="00E133FB">
      <w:pPr>
        <w:ind w:left="-76"/>
        <w:rPr>
          <w:rFonts w:ascii="Noto Sans" w:eastAsia="Calibri" w:hAnsi="Noto Sans" w:cs="Noto Sans"/>
          <w:lang w:val="en-US" w:eastAsia="en-GB"/>
        </w:rPr>
      </w:pPr>
    </w:p>
    <w:p w14:paraId="01845979" w14:textId="6114364E" w:rsidR="00FC7D41" w:rsidRPr="00FC7D41" w:rsidRDefault="0058636F" w:rsidP="000C0136">
      <w:pPr>
        <w:spacing w:after="120" w:line="259" w:lineRule="auto"/>
        <w:rPr>
          <w:rFonts w:ascii="Noto Sans" w:eastAsia="Calibri" w:hAnsi="Noto Sans" w:cs="Noto Sans"/>
          <w:b/>
          <w:bCs/>
          <w:lang w:val="en-US" w:eastAsia="en-GB"/>
        </w:rPr>
      </w:pPr>
      <w:r w:rsidRPr="0058636F">
        <w:rPr>
          <w:rFonts w:ascii="Noto Sans" w:eastAsia="Calibri" w:hAnsi="Noto Sans" w:cs="Noto Sans"/>
          <w:b/>
          <w:bCs/>
          <w:lang w:val="en-US" w:eastAsia="en-GB"/>
        </w:rPr>
        <w:t xml:space="preserve">Within the social housing sector, we face a period of rapid change that </w:t>
      </w:r>
      <w:r w:rsidR="00523DDD">
        <w:rPr>
          <w:rFonts w:ascii="Noto Sans" w:eastAsia="Calibri" w:hAnsi="Noto Sans" w:cs="Noto Sans"/>
          <w:b/>
          <w:bCs/>
          <w:lang w:val="en-US" w:eastAsia="en-GB"/>
        </w:rPr>
        <w:t>is</w:t>
      </w:r>
      <w:r w:rsidRPr="0058636F">
        <w:rPr>
          <w:rFonts w:ascii="Noto Sans" w:eastAsia="Calibri" w:hAnsi="Noto Sans" w:cs="Noto Sans"/>
          <w:b/>
          <w:bCs/>
          <w:lang w:val="en-US" w:eastAsia="en-GB"/>
        </w:rPr>
        <w:t xml:space="preserve"> reshap</w:t>
      </w:r>
      <w:r w:rsidR="00523DDD">
        <w:rPr>
          <w:rFonts w:ascii="Noto Sans" w:eastAsia="Calibri" w:hAnsi="Noto Sans" w:cs="Noto Sans"/>
          <w:b/>
          <w:bCs/>
          <w:lang w:val="en-US" w:eastAsia="en-GB"/>
        </w:rPr>
        <w:t>ing</w:t>
      </w:r>
      <w:r w:rsidRPr="0058636F">
        <w:rPr>
          <w:rFonts w:ascii="Noto Sans" w:eastAsia="Calibri" w:hAnsi="Noto Sans" w:cs="Noto Sans"/>
          <w:b/>
          <w:bCs/>
          <w:lang w:val="en-US" w:eastAsia="en-GB"/>
        </w:rPr>
        <w:t xml:space="preserve"> what we do and how we need to deliver </w:t>
      </w:r>
      <w:r w:rsidR="002D3518">
        <w:rPr>
          <w:rFonts w:ascii="Noto Sans" w:eastAsia="Calibri" w:hAnsi="Noto Sans" w:cs="Noto Sans"/>
          <w:b/>
          <w:bCs/>
          <w:lang w:val="en-US" w:eastAsia="en-GB"/>
        </w:rPr>
        <w:t xml:space="preserve">our </w:t>
      </w:r>
      <w:r w:rsidRPr="0058636F">
        <w:rPr>
          <w:rFonts w:ascii="Noto Sans" w:eastAsia="Calibri" w:hAnsi="Noto Sans" w:cs="Noto Sans"/>
          <w:b/>
          <w:bCs/>
          <w:lang w:val="en-US" w:eastAsia="en-GB"/>
        </w:rPr>
        <w:t xml:space="preserve">strategic </w:t>
      </w:r>
      <w:r w:rsidR="00286CF1">
        <w:rPr>
          <w:rFonts w:ascii="Noto Sans" w:eastAsia="Calibri" w:hAnsi="Noto Sans" w:cs="Noto Sans"/>
          <w:b/>
          <w:bCs/>
          <w:lang w:val="en-US" w:eastAsia="en-GB"/>
        </w:rPr>
        <w:t xml:space="preserve">priorities, especially </w:t>
      </w:r>
      <w:r w:rsidR="00934393">
        <w:rPr>
          <w:rFonts w:ascii="Noto Sans" w:eastAsia="Calibri" w:hAnsi="Noto Sans" w:cs="Noto Sans"/>
          <w:b/>
          <w:bCs/>
          <w:lang w:val="en-US" w:eastAsia="en-GB"/>
        </w:rPr>
        <w:t xml:space="preserve">those </w:t>
      </w:r>
      <w:r w:rsidR="00275B5F">
        <w:rPr>
          <w:rFonts w:ascii="Noto Sans" w:eastAsia="Calibri" w:hAnsi="Noto Sans" w:cs="Noto Sans"/>
          <w:b/>
          <w:bCs/>
          <w:lang w:val="en-US" w:eastAsia="en-GB"/>
        </w:rPr>
        <w:t xml:space="preserve">relating to </w:t>
      </w:r>
      <w:r w:rsidR="00934393">
        <w:rPr>
          <w:rFonts w:ascii="Noto Sans" w:eastAsia="Calibri" w:hAnsi="Noto Sans" w:cs="Noto Sans"/>
          <w:b/>
          <w:bCs/>
          <w:lang w:val="en-US" w:eastAsia="en-GB"/>
        </w:rPr>
        <w:t xml:space="preserve">our </w:t>
      </w:r>
      <w:r w:rsidRPr="0058636F">
        <w:rPr>
          <w:rFonts w:ascii="Noto Sans" w:eastAsia="Calibri" w:hAnsi="Noto Sans" w:cs="Noto Sans"/>
          <w:b/>
          <w:bCs/>
          <w:lang w:val="en-US" w:eastAsia="en-GB"/>
        </w:rPr>
        <w:t>asset management services. We must be ‘agile’, responding quickly to changes in national standards</w:t>
      </w:r>
      <w:r w:rsidR="008E0D40">
        <w:rPr>
          <w:rFonts w:ascii="Noto Sans" w:eastAsia="Calibri" w:hAnsi="Noto Sans" w:cs="Noto Sans"/>
          <w:b/>
          <w:bCs/>
          <w:lang w:val="en-US" w:eastAsia="en-GB"/>
        </w:rPr>
        <w:t xml:space="preserve"> and</w:t>
      </w:r>
      <w:r w:rsidR="00DA1EFD">
        <w:rPr>
          <w:rFonts w:ascii="Noto Sans" w:eastAsia="Calibri" w:hAnsi="Noto Sans" w:cs="Noto Sans"/>
          <w:b/>
          <w:bCs/>
          <w:lang w:val="en-US" w:eastAsia="en-GB"/>
        </w:rPr>
        <w:t xml:space="preserve"> </w:t>
      </w:r>
      <w:r w:rsidR="006767EE">
        <w:rPr>
          <w:rFonts w:ascii="Noto Sans" w:eastAsia="Calibri" w:hAnsi="Noto Sans" w:cs="Noto Sans"/>
          <w:b/>
          <w:bCs/>
          <w:lang w:val="en-US" w:eastAsia="en-GB"/>
        </w:rPr>
        <w:t>local pressures</w:t>
      </w:r>
      <w:r w:rsidR="008C0816">
        <w:rPr>
          <w:rFonts w:ascii="Noto Sans" w:eastAsia="Calibri" w:hAnsi="Noto Sans" w:cs="Noto Sans"/>
          <w:b/>
          <w:bCs/>
          <w:lang w:val="en-US" w:eastAsia="en-GB"/>
        </w:rPr>
        <w:t xml:space="preserve"> and priorities</w:t>
      </w:r>
      <w:r w:rsidR="00DA1EFD">
        <w:rPr>
          <w:rFonts w:ascii="Noto Sans" w:eastAsia="Calibri" w:hAnsi="Noto Sans" w:cs="Noto Sans"/>
          <w:b/>
          <w:bCs/>
          <w:lang w:val="en-US" w:eastAsia="en-GB"/>
        </w:rPr>
        <w:t xml:space="preserve">, </w:t>
      </w:r>
      <w:r w:rsidR="008E0D40">
        <w:rPr>
          <w:rFonts w:ascii="Noto Sans" w:eastAsia="Calibri" w:hAnsi="Noto Sans" w:cs="Noto Sans"/>
          <w:b/>
          <w:bCs/>
          <w:lang w:val="en-US" w:eastAsia="en-GB"/>
        </w:rPr>
        <w:t>w</w:t>
      </w:r>
      <w:r w:rsidR="000E2C74">
        <w:rPr>
          <w:rFonts w:ascii="Noto Sans" w:eastAsia="Calibri" w:hAnsi="Noto Sans" w:cs="Noto Sans"/>
          <w:b/>
          <w:bCs/>
          <w:lang w:val="en-US" w:eastAsia="en-GB"/>
        </w:rPr>
        <w:t xml:space="preserve">ithin an environment </w:t>
      </w:r>
      <w:r w:rsidR="00933876">
        <w:rPr>
          <w:rFonts w:ascii="Noto Sans" w:eastAsia="Calibri" w:hAnsi="Noto Sans" w:cs="Noto Sans"/>
          <w:b/>
          <w:bCs/>
          <w:lang w:val="en-US" w:eastAsia="en-GB"/>
        </w:rPr>
        <w:t xml:space="preserve">where costs are </w:t>
      </w:r>
      <w:r w:rsidR="008C0816">
        <w:rPr>
          <w:rFonts w:ascii="Noto Sans" w:eastAsia="Calibri" w:hAnsi="Noto Sans" w:cs="Noto Sans"/>
          <w:b/>
          <w:bCs/>
          <w:lang w:val="en-US" w:eastAsia="en-GB"/>
        </w:rPr>
        <w:t>increasing,</w:t>
      </w:r>
      <w:r w:rsidR="00933876">
        <w:rPr>
          <w:rFonts w:ascii="Noto Sans" w:eastAsia="Calibri" w:hAnsi="Noto Sans" w:cs="Noto Sans"/>
          <w:b/>
          <w:bCs/>
          <w:lang w:val="en-US" w:eastAsia="en-GB"/>
        </w:rPr>
        <w:t xml:space="preserve"> and finances are tight</w:t>
      </w:r>
      <w:r w:rsidR="00933876" w:rsidRPr="00FC7D41">
        <w:rPr>
          <w:rFonts w:ascii="Noto Sans" w:eastAsia="Calibri" w:hAnsi="Noto Sans" w:cs="Noto Sans"/>
          <w:lang w:val="en-US" w:eastAsia="en-GB"/>
        </w:rPr>
        <w:t>.</w:t>
      </w:r>
      <w:r w:rsidR="00DA1EFD" w:rsidRPr="00FC7D41">
        <w:rPr>
          <w:rFonts w:ascii="Noto Sans" w:eastAsia="Calibri" w:hAnsi="Noto Sans" w:cs="Noto Sans"/>
          <w:lang w:val="en-US" w:eastAsia="en-GB"/>
        </w:rPr>
        <w:t xml:space="preserve"> </w:t>
      </w:r>
      <w:r w:rsidR="006D315E" w:rsidRPr="00FF5A52">
        <w:rPr>
          <w:rFonts w:ascii="Noto Sans" w:eastAsia="Calibri" w:hAnsi="Noto Sans" w:cs="Noto Sans"/>
          <w:b/>
          <w:bCs/>
          <w:lang w:val="en-US" w:eastAsia="en-GB"/>
        </w:rPr>
        <w:t>This is a near universal position among s</w:t>
      </w:r>
      <w:r w:rsidR="00FF5A52" w:rsidRPr="00FF5A52">
        <w:rPr>
          <w:rFonts w:ascii="Noto Sans" w:eastAsia="Calibri" w:hAnsi="Noto Sans" w:cs="Noto Sans"/>
          <w:b/>
          <w:bCs/>
          <w:lang w:val="en-US" w:eastAsia="en-GB"/>
        </w:rPr>
        <w:t>ocial landlords, because of rising costs and interest rates, plus the effects of previous constraints on social rent increases.</w:t>
      </w:r>
      <w:r w:rsidR="00FF5A52">
        <w:rPr>
          <w:rFonts w:ascii="Noto Sans" w:eastAsia="Calibri" w:hAnsi="Noto Sans" w:cs="Noto Sans"/>
          <w:lang w:val="en-US" w:eastAsia="en-GB"/>
        </w:rPr>
        <w:t xml:space="preserve"> </w:t>
      </w:r>
      <w:r w:rsidR="009A3FC4" w:rsidRPr="00FC7D41">
        <w:rPr>
          <w:rFonts w:ascii="Noto Sans" w:eastAsia="Calibri" w:hAnsi="Noto Sans" w:cs="Noto Sans"/>
          <w:b/>
          <w:bCs/>
          <w:lang w:val="en-US" w:eastAsia="en-GB"/>
        </w:rPr>
        <w:t xml:space="preserve">This </w:t>
      </w:r>
      <w:r w:rsidR="00E07977" w:rsidRPr="00FC7D41">
        <w:rPr>
          <w:rFonts w:ascii="Noto Sans" w:eastAsia="Calibri" w:hAnsi="Noto Sans" w:cs="Noto Sans"/>
          <w:b/>
          <w:bCs/>
          <w:lang w:val="en-US" w:eastAsia="en-GB"/>
        </w:rPr>
        <w:t>presents a challenge for</w:t>
      </w:r>
      <w:r w:rsidR="009A3FC4" w:rsidRPr="00FC7D41">
        <w:rPr>
          <w:rFonts w:ascii="Noto Sans" w:eastAsia="Calibri" w:hAnsi="Noto Sans" w:cs="Noto Sans"/>
          <w:b/>
          <w:bCs/>
          <w:lang w:val="en-US" w:eastAsia="en-GB"/>
        </w:rPr>
        <w:t xml:space="preserve"> long term business planning</w:t>
      </w:r>
      <w:r w:rsidR="00AF7CDE" w:rsidRPr="00FC7D41">
        <w:rPr>
          <w:rFonts w:ascii="Noto Sans" w:eastAsia="Calibri" w:hAnsi="Noto Sans" w:cs="Noto Sans"/>
          <w:b/>
          <w:bCs/>
          <w:lang w:val="en-US" w:eastAsia="en-GB"/>
        </w:rPr>
        <w:t xml:space="preserve">. </w:t>
      </w:r>
    </w:p>
    <w:p w14:paraId="3F9264DC" w14:textId="5067B197" w:rsidR="009A3FC4" w:rsidRPr="009A3FC4" w:rsidRDefault="00AF7CDE" w:rsidP="000C0136">
      <w:pPr>
        <w:spacing w:after="120" w:line="259" w:lineRule="auto"/>
        <w:rPr>
          <w:rFonts w:ascii="Noto Sans" w:eastAsia="Calibri" w:hAnsi="Noto Sans" w:cs="Noto Sans"/>
          <w:lang w:val="en-US" w:eastAsia="en-GB"/>
        </w:rPr>
      </w:pPr>
      <w:r>
        <w:rPr>
          <w:rFonts w:ascii="Noto Sans" w:eastAsia="Calibri" w:hAnsi="Noto Sans" w:cs="Noto Sans"/>
          <w:lang w:val="en-US" w:eastAsia="en-GB"/>
        </w:rPr>
        <w:t>W</w:t>
      </w:r>
      <w:r w:rsidR="00510D9D">
        <w:rPr>
          <w:rFonts w:ascii="Noto Sans" w:eastAsia="Calibri" w:hAnsi="Noto Sans" w:cs="Noto Sans"/>
          <w:lang w:val="en-US" w:eastAsia="en-GB"/>
        </w:rPr>
        <w:t xml:space="preserve">ithin our Oxford context, </w:t>
      </w:r>
      <w:r w:rsidR="00457534">
        <w:rPr>
          <w:rFonts w:ascii="Noto Sans" w:eastAsia="Calibri" w:hAnsi="Noto Sans" w:cs="Noto Sans"/>
          <w:lang w:val="en-US" w:eastAsia="en-GB"/>
        </w:rPr>
        <w:t>the HRA Business Plan</w:t>
      </w:r>
      <w:r w:rsidR="006C3439">
        <w:rPr>
          <w:rFonts w:ascii="Noto Sans" w:eastAsia="Calibri" w:hAnsi="Noto Sans" w:cs="Noto Sans"/>
          <w:lang w:val="en-US" w:eastAsia="en-GB"/>
        </w:rPr>
        <w:t xml:space="preserve"> need</w:t>
      </w:r>
      <w:r w:rsidR="00457534">
        <w:rPr>
          <w:rFonts w:ascii="Noto Sans" w:eastAsia="Calibri" w:hAnsi="Noto Sans" w:cs="Noto Sans"/>
          <w:lang w:val="en-US" w:eastAsia="en-GB"/>
        </w:rPr>
        <w:t>s</w:t>
      </w:r>
      <w:r w:rsidR="006C3439">
        <w:rPr>
          <w:rFonts w:ascii="Noto Sans" w:eastAsia="Calibri" w:hAnsi="Noto Sans" w:cs="Noto Sans"/>
          <w:lang w:val="en-US" w:eastAsia="en-GB"/>
        </w:rPr>
        <w:t xml:space="preserve"> to find the resources</w:t>
      </w:r>
      <w:r w:rsidR="003D6EA3">
        <w:rPr>
          <w:rFonts w:ascii="Noto Sans" w:eastAsia="Calibri" w:hAnsi="Noto Sans" w:cs="Noto Sans"/>
          <w:lang w:val="en-US" w:eastAsia="en-GB"/>
        </w:rPr>
        <w:t xml:space="preserve"> </w:t>
      </w:r>
      <w:r>
        <w:rPr>
          <w:rFonts w:ascii="Noto Sans" w:eastAsia="Calibri" w:hAnsi="Noto Sans" w:cs="Noto Sans"/>
          <w:lang w:val="en-US" w:eastAsia="en-GB"/>
        </w:rPr>
        <w:t>to address</w:t>
      </w:r>
      <w:r w:rsidR="00302A9C">
        <w:rPr>
          <w:rFonts w:ascii="Noto Sans" w:eastAsia="Calibri" w:hAnsi="Noto Sans" w:cs="Noto Sans"/>
          <w:lang w:val="en-US" w:eastAsia="en-GB"/>
        </w:rPr>
        <w:t xml:space="preserve"> </w:t>
      </w:r>
      <w:r w:rsidR="00AB5102">
        <w:rPr>
          <w:rFonts w:ascii="Noto Sans" w:eastAsia="Calibri" w:hAnsi="Noto Sans" w:cs="Noto Sans"/>
          <w:lang w:val="en-US" w:eastAsia="en-GB"/>
        </w:rPr>
        <w:t>four</w:t>
      </w:r>
      <w:r w:rsidR="00302A9C">
        <w:rPr>
          <w:rFonts w:ascii="Noto Sans" w:eastAsia="Calibri" w:hAnsi="Noto Sans" w:cs="Noto Sans"/>
          <w:lang w:val="en-US" w:eastAsia="en-GB"/>
        </w:rPr>
        <w:t xml:space="preserve"> key areas </w:t>
      </w:r>
      <w:r w:rsidR="000F19FD">
        <w:rPr>
          <w:rFonts w:ascii="Noto Sans" w:eastAsia="Calibri" w:hAnsi="Noto Sans" w:cs="Noto Sans"/>
          <w:lang w:val="en-US" w:eastAsia="en-GB"/>
        </w:rPr>
        <w:t>of activity.</w:t>
      </w:r>
    </w:p>
    <w:p w14:paraId="06335560" w14:textId="6406B701" w:rsidR="00016E6E" w:rsidRPr="000F19FD" w:rsidRDefault="000C0E3C" w:rsidP="000F19FD">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Service improvements</w:t>
      </w:r>
      <w:r w:rsidR="008C72A7">
        <w:rPr>
          <w:rFonts w:ascii="Noto Sans" w:eastAsia="Calibri" w:hAnsi="Noto Sans" w:cs="Noto Sans"/>
          <w:b/>
          <w:bCs/>
          <w:color w:val="0070C0" w:themeColor="accent3"/>
          <w:lang w:val="en-US" w:eastAsia="en-GB"/>
        </w:rPr>
        <w:t>, including</w:t>
      </w:r>
      <w:r>
        <w:rPr>
          <w:rFonts w:ascii="Noto Sans" w:eastAsia="Calibri" w:hAnsi="Noto Sans" w:cs="Noto Sans"/>
          <w:b/>
          <w:bCs/>
          <w:color w:val="0070C0" w:themeColor="accent3"/>
          <w:lang w:val="en-US" w:eastAsia="en-GB"/>
        </w:rPr>
        <w:t xml:space="preserve"> to meet i</w:t>
      </w:r>
      <w:r w:rsidR="0079418F" w:rsidRPr="000F19FD">
        <w:rPr>
          <w:rFonts w:ascii="Noto Sans" w:eastAsia="Calibri" w:hAnsi="Noto Sans" w:cs="Noto Sans"/>
          <w:b/>
          <w:bCs/>
          <w:color w:val="0070C0" w:themeColor="accent3"/>
          <w:lang w:val="en-US" w:eastAsia="en-GB"/>
        </w:rPr>
        <w:t xml:space="preserve">ncreasing </w:t>
      </w:r>
      <w:r w:rsidR="008C72A7">
        <w:rPr>
          <w:rFonts w:ascii="Noto Sans" w:eastAsia="Calibri" w:hAnsi="Noto Sans" w:cs="Noto Sans"/>
          <w:b/>
          <w:bCs/>
          <w:color w:val="0070C0" w:themeColor="accent3"/>
          <w:lang w:val="en-US" w:eastAsia="en-GB"/>
        </w:rPr>
        <w:t xml:space="preserve">legal requirements and </w:t>
      </w:r>
      <w:r w:rsidR="0079418F" w:rsidRPr="000F19FD">
        <w:rPr>
          <w:rFonts w:ascii="Noto Sans" w:eastAsia="Calibri" w:hAnsi="Noto Sans" w:cs="Noto Sans"/>
          <w:b/>
          <w:bCs/>
          <w:color w:val="0070C0" w:themeColor="accent3"/>
          <w:lang w:val="en-US" w:eastAsia="en-GB"/>
        </w:rPr>
        <w:t>levels of regulation</w:t>
      </w:r>
    </w:p>
    <w:p w14:paraId="047DCE89" w14:textId="0E8C5DB7" w:rsidR="0058636F" w:rsidRDefault="0058636F" w:rsidP="00F63C47">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Scrutiny of the social housing sector has focused attention on improving the safety, quality and </w:t>
      </w:r>
      <w:r w:rsidR="005A0B95">
        <w:rPr>
          <w:rFonts w:ascii="Noto Sans" w:eastAsia="Calibri" w:hAnsi="Noto Sans" w:cs="Noto Sans"/>
          <w:lang w:val="en-US" w:eastAsia="en-GB"/>
        </w:rPr>
        <w:t>sustainability</w:t>
      </w:r>
      <w:r w:rsidRPr="0058636F">
        <w:rPr>
          <w:rFonts w:ascii="Noto Sans" w:eastAsia="Calibri" w:hAnsi="Noto Sans" w:cs="Noto Sans"/>
          <w:lang w:val="en-US" w:eastAsia="en-GB"/>
        </w:rPr>
        <w:t xml:space="preserve"> of homes</w:t>
      </w:r>
      <w:r w:rsidR="00236E05">
        <w:rPr>
          <w:rFonts w:ascii="Noto Sans" w:eastAsia="Calibri" w:hAnsi="Noto Sans" w:cs="Noto Sans"/>
          <w:lang w:val="en-US" w:eastAsia="en-GB"/>
        </w:rPr>
        <w:t>, with stronger governance and more accountability</w:t>
      </w:r>
      <w:r w:rsidR="00D71C87">
        <w:rPr>
          <w:rFonts w:ascii="Noto Sans" w:eastAsia="Calibri" w:hAnsi="Noto Sans" w:cs="Noto Sans"/>
          <w:lang w:val="en-US" w:eastAsia="en-GB"/>
        </w:rPr>
        <w:t>.</w:t>
      </w:r>
      <w:r w:rsidRPr="0058636F">
        <w:rPr>
          <w:rFonts w:ascii="Noto Sans" w:eastAsia="Calibri" w:hAnsi="Noto Sans" w:cs="Noto Sans"/>
          <w:lang w:val="en-US" w:eastAsia="en-GB"/>
        </w:rPr>
        <w:t xml:space="preserve"> </w:t>
      </w:r>
      <w:r w:rsidR="00BF156E">
        <w:rPr>
          <w:rFonts w:ascii="Noto Sans" w:eastAsia="Calibri" w:hAnsi="Noto Sans" w:cs="Noto Sans"/>
          <w:lang w:val="en-US" w:eastAsia="en-GB"/>
        </w:rPr>
        <w:t>We must</w:t>
      </w:r>
      <w:r w:rsidRPr="0058636F">
        <w:rPr>
          <w:rFonts w:ascii="Noto Sans" w:eastAsia="Calibri" w:hAnsi="Noto Sans" w:cs="Noto Sans"/>
          <w:lang w:val="en-US" w:eastAsia="en-GB"/>
        </w:rPr>
        <w:t xml:space="preserve"> provide tenants with assurance that we are investing sufficiently </w:t>
      </w:r>
      <w:r w:rsidR="00BE21AD">
        <w:rPr>
          <w:rFonts w:ascii="Noto Sans" w:eastAsia="Calibri" w:hAnsi="Noto Sans" w:cs="Noto Sans"/>
          <w:lang w:val="en-US" w:eastAsia="en-GB"/>
        </w:rPr>
        <w:t>so</w:t>
      </w:r>
      <w:r w:rsidRPr="0058636F">
        <w:rPr>
          <w:rFonts w:ascii="Noto Sans" w:eastAsia="Calibri" w:hAnsi="Noto Sans" w:cs="Noto Sans"/>
          <w:lang w:val="en-US" w:eastAsia="en-GB"/>
        </w:rPr>
        <w:t xml:space="preserve"> homes meet all safety, legal and regulatory compliance standards</w:t>
      </w:r>
      <w:r w:rsidR="003522EA">
        <w:rPr>
          <w:rFonts w:ascii="Noto Sans" w:eastAsia="Calibri" w:hAnsi="Noto Sans" w:cs="Noto Sans"/>
          <w:lang w:val="en-US" w:eastAsia="en-GB"/>
        </w:rPr>
        <w:t xml:space="preserve">, quickly </w:t>
      </w:r>
      <w:r w:rsidR="0029358A">
        <w:rPr>
          <w:rFonts w:ascii="Noto Sans" w:eastAsia="Calibri" w:hAnsi="Noto Sans" w:cs="Noto Sans"/>
          <w:lang w:val="en-US" w:eastAsia="en-GB"/>
        </w:rPr>
        <w:t xml:space="preserve">and efficiently </w:t>
      </w:r>
      <w:r w:rsidRPr="0058636F">
        <w:rPr>
          <w:rFonts w:ascii="Noto Sans" w:eastAsia="Calibri" w:hAnsi="Noto Sans" w:cs="Noto Sans"/>
          <w:lang w:val="en-US" w:eastAsia="en-GB"/>
        </w:rPr>
        <w:t>tackl</w:t>
      </w:r>
      <w:r w:rsidR="003522EA">
        <w:rPr>
          <w:rFonts w:ascii="Noto Sans" w:eastAsia="Calibri" w:hAnsi="Noto Sans" w:cs="Noto Sans"/>
          <w:lang w:val="en-US" w:eastAsia="en-GB"/>
        </w:rPr>
        <w:t>ing</w:t>
      </w:r>
      <w:r w:rsidRPr="0058636F">
        <w:rPr>
          <w:rFonts w:ascii="Noto Sans" w:eastAsia="Calibri" w:hAnsi="Noto Sans" w:cs="Noto Sans"/>
          <w:lang w:val="en-US" w:eastAsia="en-GB"/>
        </w:rPr>
        <w:t xml:space="preserve"> </w:t>
      </w:r>
      <w:r w:rsidR="00FC761F">
        <w:rPr>
          <w:rFonts w:ascii="Noto Sans" w:eastAsia="Calibri" w:hAnsi="Noto Sans" w:cs="Noto Sans"/>
          <w:lang w:val="en-US" w:eastAsia="en-GB"/>
        </w:rPr>
        <w:t>repairs</w:t>
      </w:r>
      <w:r w:rsidR="0029358A">
        <w:rPr>
          <w:rFonts w:ascii="Noto Sans" w:eastAsia="Calibri" w:hAnsi="Noto Sans" w:cs="Noto Sans"/>
          <w:lang w:val="en-US" w:eastAsia="en-GB"/>
        </w:rPr>
        <w:t xml:space="preserve"> and addressing </w:t>
      </w:r>
      <w:r w:rsidRPr="0058636F">
        <w:rPr>
          <w:rFonts w:ascii="Noto Sans" w:eastAsia="Calibri" w:hAnsi="Noto Sans" w:cs="Noto Sans"/>
          <w:lang w:val="en-US" w:eastAsia="en-GB"/>
        </w:rPr>
        <w:t xml:space="preserve">damp, mould and disrepair issues </w:t>
      </w:r>
      <w:r w:rsidR="0029358A">
        <w:rPr>
          <w:rFonts w:ascii="Noto Sans" w:eastAsia="Calibri" w:hAnsi="Noto Sans" w:cs="Noto Sans"/>
          <w:lang w:val="en-US" w:eastAsia="en-GB"/>
        </w:rPr>
        <w:t>promptly when they</w:t>
      </w:r>
      <w:r w:rsidRPr="0058636F">
        <w:rPr>
          <w:rFonts w:ascii="Noto Sans" w:eastAsia="Calibri" w:hAnsi="Noto Sans" w:cs="Noto Sans"/>
          <w:lang w:val="en-US" w:eastAsia="en-GB"/>
        </w:rPr>
        <w:t xml:space="preserve"> arise.</w:t>
      </w:r>
      <w:r w:rsidR="00F8082C">
        <w:rPr>
          <w:rFonts w:ascii="Noto Sans" w:eastAsia="Calibri" w:hAnsi="Noto Sans" w:cs="Noto Sans"/>
          <w:lang w:val="en-US" w:eastAsia="en-GB"/>
        </w:rPr>
        <w:t xml:space="preserve"> More broadly, w</w:t>
      </w:r>
      <w:r w:rsidR="00F8082C" w:rsidRPr="00F8082C">
        <w:rPr>
          <w:rFonts w:ascii="Noto Sans" w:eastAsia="Calibri" w:hAnsi="Noto Sans" w:cs="Noto Sans"/>
          <w:lang w:val="en-US" w:eastAsia="en-GB"/>
        </w:rPr>
        <w:t>e need to work across the Council and with partners to ensure our systems and processes, policies, procedures and structures support efficient and effective service delivery. We must also employ the principles of good procurement and contact management at all stages to deliver better quality services at a lower cost.</w:t>
      </w:r>
    </w:p>
    <w:p w14:paraId="3DDB45AD" w14:textId="3FF2315D" w:rsidR="005C2C9C" w:rsidRPr="005C2C9C" w:rsidRDefault="00257AF7" w:rsidP="005C2C9C">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 xml:space="preserve">Tackling the </w:t>
      </w:r>
      <w:r w:rsidR="00FC761F">
        <w:rPr>
          <w:rFonts w:ascii="Noto Sans" w:eastAsia="Calibri" w:hAnsi="Noto Sans" w:cs="Noto Sans"/>
          <w:b/>
          <w:bCs/>
          <w:color w:val="0070C0" w:themeColor="accent3"/>
          <w:lang w:val="en-US" w:eastAsia="en-GB"/>
        </w:rPr>
        <w:t xml:space="preserve">investment </w:t>
      </w:r>
      <w:r>
        <w:rPr>
          <w:rFonts w:ascii="Noto Sans" w:eastAsia="Calibri" w:hAnsi="Noto Sans" w:cs="Noto Sans"/>
          <w:b/>
          <w:bCs/>
          <w:color w:val="0070C0" w:themeColor="accent3"/>
          <w:lang w:val="en-US" w:eastAsia="en-GB"/>
        </w:rPr>
        <w:t xml:space="preserve">needs of our </w:t>
      </w:r>
      <w:r w:rsidR="00DF041A">
        <w:rPr>
          <w:rFonts w:ascii="Noto Sans" w:eastAsia="Calibri" w:hAnsi="Noto Sans" w:cs="Noto Sans"/>
          <w:b/>
          <w:bCs/>
          <w:color w:val="0070C0" w:themeColor="accent3"/>
          <w:lang w:val="en-US" w:eastAsia="en-GB"/>
        </w:rPr>
        <w:t>‘</w:t>
      </w:r>
      <w:r>
        <w:rPr>
          <w:rFonts w:ascii="Noto Sans" w:eastAsia="Calibri" w:hAnsi="Noto Sans" w:cs="Noto Sans"/>
          <w:b/>
          <w:bCs/>
          <w:color w:val="0070C0" w:themeColor="accent3"/>
          <w:lang w:val="en-US" w:eastAsia="en-GB"/>
        </w:rPr>
        <w:t>ageing</w:t>
      </w:r>
      <w:r w:rsidR="00DF041A">
        <w:rPr>
          <w:rFonts w:ascii="Noto Sans" w:eastAsia="Calibri" w:hAnsi="Noto Sans" w:cs="Noto Sans"/>
          <w:b/>
          <w:bCs/>
          <w:color w:val="0070C0" w:themeColor="accent3"/>
          <w:lang w:val="en-US" w:eastAsia="en-GB"/>
        </w:rPr>
        <w:t>’</w:t>
      </w:r>
      <w:r>
        <w:rPr>
          <w:rFonts w:ascii="Noto Sans" w:eastAsia="Calibri" w:hAnsi="Noto Sans" w:cs="Noto Sans"/>
          <w:b/>
          <w:bCs/>
          <w:color w:val="0070C0" w:themeColor="accent3"/>
          <w:lang w:val="en-US" w:eastAsia="en-GB"/>
        </w:rPr>
        <w:t xml:space="preserve"> housing stock</w:t>
      </w:r>
    </w:p>
    <w:p w14:paraId="369E98F6" w14:textId="1C116441" w:rsidR="00CA2083" w:rsidRPr="0058636F" w:rsidRDefault="005C2C9C" w:rsidP="000C3853">
      <w:pPr>
        <w:spacing w:after="120" w:line="259" w:lineRule="auto"/>
        <w:ind w:left="709"/>
        <w:rPr>
          <w:rFonts w:ascii="Noto Sans" w:eastAsia="Calibri" w:hAnsi="Noto Sans" w:cs="Noto Sans"/>
          <w:lang w:val="en-US" w:eastAsia="en-GB"/>
        </w:rPr>
      </w:pPr>
      <w:r w:rsidRPr="005C2C9C">
        <w:rPr>
          <w:rFonts w:ascii="Noto Sans" w:eastAsia="Calibri" w:hAnsi="Noto Sans" w:cs="Noto Sans"/>
          <w:lang w:val="en-US" w:eastAsia="en-GB"/>
        </w:rPr>
        <w:t xml:space="preserve">We need to ensure we </w:t>
      </w:r>
      <w:r w:rsidR="00422582">
        <w:rPr>
          <w:rFonts w:ascii="Noto Sans" w:eastAsia="Calibri" w:hAnsi="Noto Sans" w:cs="Noto Sans"/>
          <w:lang w:val="en-US" w:eastAsia="en-GB"/>
        </w:rPr>
        <w:t>are</w:t>
      </w:r>
      <w:r w:rsidRPr="005C2C9C">
        <w:rPr>
          <w:rFonts w:ascii="Noto Sans" w:eastAsia="Calibri" w:hAnsi="Noto Sans" w:cs="Noto Sans"/>
          <w:lang w:val="en-US" w:eastAsia="en-GB"/>
        </w:rPr>
        <w:t xml:space="preserve"> address</w:t>
      </w:r>
      <w:r w:rsidR="00277ECC">
        <w:rPr>
          <w:rFonts w:ascii="Noto Sans" w:eastAsia="Calibri" w:hAnsi="Noto Sans" w:cs="Noto Sans"/>
          <w:lang w:val="en-US" w:eastAsia="en-GB"/>
        </w:rPr>
        <w:t>ing</w:t>
      </w:r>
      <w:r w:rsidRPr="005C2C9C">
        <w:rPr>
          <w:rFonts w:ascii="Noto Sans" w:eastAsia="Calibri" w:hAnsi="Noto Sans" w:cs="Noto Sans"/>
          <w:lang w:val="en-US" w:eastAsia="en-GB"/>
        </w:rPr>
        <w:t xml:space="preserve"> the significant investment needs of our city’s ‘ageing’ housing stock</w:t>
      </w:r>
      <w:r w:rsidR="00DF041A">
        <w:rPr>
          <w:rFonts w:ascii="Noto Sans" w:eastAsia="Calibri" w:hAnsi="Noto Sans" w:cs="Noto Sans"/>
          <w:lang w:val="en-US" w:eastAsia="en-GB"/>
        </w:rPr>
        <w:t xml:space="preserve">, </w:t>
      </w:r>
      <w:r w:rsidR="0046702D">
        <w:rPr>
          <w:rFonts w:ascii="Noto Sans" w:eastAsia="Calibri" w:hAnsi="Noto Sans" w:cs="Noto Sans"/>
          <w:lang w:val="en-US" w:eastAsia="en-GB"/>
        </w:rPr>
        <w:t xml:space="preserve">well over half of which is over 60 years old. </w:t>
      </w:r>
      <w:r w:rsidR="00695082">
        <w:rPr>
          <w:rFonts w:ascii="Noto Sans" w:eastAsia="Calibri" w:hAnsi="Noto Sans" w:cs="Noto Sans"/>
          <w:lang w:val="en-US" w:eastAsia="en-GB"/>
        </w:rPr>
        <w:t xml:space="preserve">This includes </w:t>
      </w:r>
      <w:proofErr w:type="spellStart"/>
      <w:r w:rsidR="00695082">
        <w:rPr>
          <w:rFonts w:ascii="Noto Sans" w:eastAsia="Calibri" w:hAnsi="Noto Sans" w:cs="Noto Sans"/>
          <w:lang w:val="en-US" w:eastAsia="en-GB"/>
        </w:rPr>
        <w:t>modernising</w:t>
      </w:r>
      <w:proofErr w:type="spellEnd"/>
      <w:r w:rsidR="00695082">
        <w:rPr>
          <w:rFonts w:ascii="Noto Sans" w:eastAsia="Calibri" w:hAnsi="Noto Sans" w:cs="Noto Sans"/>
          <w:lang w:val="en-US" w:eastAsia="en-GB"/>
        </w:rPr>
        <w:t xml:space="preserve"> homes to meet the </w:t>
      </w:r>
      <w:r w:rsidR="003E7D7C">
        <w:rPr>
          <w:rFonts w:ascii="Noto Sans" w:eastAsia="Calibri" w:hAnsi="Noto Sans" w:cs="Noto Sans"/>
          <w:lang w:val="en-US" w:eastAsia="en-GB"/>
        </w:rPr>
        <w:t>current and future needs and expectations of te</w:t>
      </w:r>
      <w:r w:rsidR="00277ECC">
        <w:rPr>
          <w:rFonts w:ascii="Noto Sans" w:eastAsia="Calibri" w:hAnsi="Noto Sans" w:cs="Noto Sans"/>
          <w:lang w:val="en-US" w:eastAsia="en-GB"/>
        </w:rPr>
        <w:t xml:space="preserve">nants, </w:t>
      </w:r>
      <w:r w:rsidR="004956E0" w:rsidRPr="004956E0">
        <w:rPr>
          <w:rFonts w:ascii="Noto Sans" w:eastAsia="Calibri" w:hAnsi="Noto Sans" w:cs="Noto Sans"/>
          <w:lang w:val="en-US" w:eastAsia="en-GB"/>
        </w:rPr>
        <w:t>invest</w:t>
      </w:r>
      <w:r w:rsidR="00277ECC">
        <w:rPr>
          <w:rFonts w:ascii="Noto Sans" w:eastAsia="Calibri" w:hAnsi="Noto Sans" w:cs="Noto Sans"/>
          <w:lang w:val="en-US" w:eastAsia="en-GB"/>
        </w:rPr>
        <w:t>ing</w:t>
      </w:r>
      <w:r w:rsidR="004956E0" w:rsidRPr="004956E0">
        <w:rPr>
          <w:rFonts w:ascii="Noto Sans" w:eastAsia="Calibri" w:hAnsi="Noto Sans" w:cs="Noto Sans"/>
          <w:lang w:val="en-US" w:eastAsia="en-GB"/>
        </w:rPr>
        <w:t xml:space="preserve"> wisely, drawing on data and intelligence on the ‘performance’ of our homes to ensure they are sustainable for the longer</w:t>
      </w:r>
      <w:r w:rsidR="00277ECC">
        <w:rPr>
          <w:rFonts w:ascii="Noto Sans" w:eastAsia="Calibri" w:hAnsi="Noto Sans" w:cs="Noto Sans"/>
          <w:lang w:val="en-US" w:eastAsia="en-GB"/>
        </w:rPr>
        <w:t xml:space="preserve"> </w:t>
      </w:r>
      <w:r w:rsidR="004956E0" w:rsidRPr="004956E0">
        <w:rPr>
          <w:rFonts w:ascii="Noto Sans" w:eastAsia="Calibri" w:hAnsi="Noto Sans" w:cs="Noto Sans"/>
          <w:lang w:val="en-US" w:eastAsia="en-GB"/>
        </w:rPr>
        <w:t>term</w:t>
      </w:r>
      <w:r w:rsidR="003E7D7C">
        <w:rPr>
          <w:rFonts w:ascii="Noto Sans" w:eastAsia="Calibri" w:hAnsi="Noto Sans" w:cs="Noto Sans"/>
          <w:lang w:val="en-US" w:eastAsia="en-GB"/>
        </w:rPr>
        <w:t xml:space="preserve">. </w:t>
      </w:r>
      <w:r w:rsidR="00422582">
        <w:rPr>
          <w:rFonts w:ascii="Noto Sans" w:eastAsia="Calibri" w:hAnsi="Noto Sans" w:cs="Noto Sans"/>
          <w:lang w:val="en-US" w:eastAsia="en-GB"/>
        </w:rPr>
        <w:t>Th</w:t>
      </w:r>
      <w:r w:rsidR="003E7D7C">
        <w:rPr>
          <w:rFonts w:ascii="Noto Sans" w:eastAsia="Calibri" w:hAnsi="Noto Sans" w:cs="Noto Sans"/>
          <w:lang w:val="en-US" w:eastAsia="en-GB"/>
        </w:rPr>
        <w:t>e</w:t>
      </w:r>
      <w:r w:rsidR="00422582">
        <w:rPr>
          <w:rFonts w:ascii="Noto Sans" w:eastAsia="Calibri" w:hAnsi="Noto Sans" w:cs="Noto Sans"/>
          <w:lang w:val="en-US" w:eastAsia="en-GB"/>
        </w:rPr>
        <w:t xml:space="preserve"> challenge is compounded by a legacy of underinvestment</w:t>
      </w:r>
      <w:r w:rsidR="00853433">
        <w:rPr>
          <w:rFonts w:ascii="Noto Sans" w:eastAsia="Calibri" w:hAnsi="Noto Sans" w:cs="Noto Sans"/>
          <w:lang w:val="en-US" w:eastAsia="en-GB"/>
        </w:rPr>
        <w:t xml:space="preserve"> over recent times, with a backlog of planned maintenance and building component replacements that are overdue. </w:t>
      </w:r>
      <w:r w:rsidR="004B6D09">
        <w:rPr>
          <w:rFonts w:ascii="Noto Sans" w:eastAsia="Calibri" w:hAnsi="Noto Sans" w:cs="Noto Sans"/>
          <w:lang w:val="en-US" w:eastAsia="en-GB"/>
        </w:rPr>
        <w:lastRenderedPageBreak/>
        <w:t>The HRA needs to fund a period of increased capital expenditure.</w:t>
      </w:r>
    </w:p>
    <w:p w14:paraId="69691D9C" w14:textId="6C5BDCB6" w:rsidR="0058636F" w:rsidRPr="0058636F" w:rsidRDefault="0058636F" w:rsidP="00F63C47">
      <w:pPr>
        <w:pStyle w:val="ListParagraph"/>
        <w:numPr>
          <w:ilvl w:val="0"/>
          <w:numId w:val="28"/>
        </w:numPr>
        <w:spacing w:after="120" w:line="259" w:lineRule="auto"/>
        <w:rPr>
          <w:rFonts w:ascii="Noto Sans" w:eastAsia="Calibri" w:hAnsi="Noto Sans" w:cs="Noto Sans"/>
          <w:b/>
          <w:bCs/>
          <w:color w:val="0070C0" w:themeColor="accent3"/>
          <w:lang w:val="en-US" w:eastAsia="en-GB"/>
        </w:rPr>
      </w:pPr>
      <w:r w:rsidRPr="0058636F">
        <w:rPr>
          <w:rFonts w:ascii="Noto Sans" w:eastAsia="Calibri" w:hAnsi="Noto Sans" w:cs="Noto Sans"/>
          <w:b/>
          <w:bCs/>
          <w:color w:val="0070C0" w:themeColor="accent3"/>
          <w:lang w:val="en-US" w:eastAsia="en-GB"/>
        </w:rPr>
        <w:t>Providing homes for a net zero carbon future</w:t>
      </w:r>
    </w:p>
    <w:p w14:paraId="5AE3F695" w14:textId="5544A5B4" w:rsidR="0058636F" w:rsidRPr="0058636F" w:rsidRDefault="0058636F" w:rsidP="00F63C47">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To tackle climate change, Oxford has set an ambition to be net zero carbon by 2040. There are also national targets for social landlords to ensure all homes have a minimum energy rating of EPC C by 2030. To meet the challenges of a net zero carbon future, </w:t>
      </w:r>
      <w:r w:rsidR="00F63C47">
        <w:rPr>
          <w:rFonts w:ascii="Noto Sans" w:eastAsia="Calibri" w:hAnsi="Noto Sans" w:cs="Noto Sans"/>
          <w:lang w:val="en-US" w:eastAsia="en-GB"/>
        </w:rPr>
        <w:t xml:space="preserve">we need to </w:t>
      </w:r>
      <w:r w:rsidR="008F741D">
        <w:rPr>
          <w:rFonts w:ascii="Noto Sans" w:eastAsia="Calibri" w:hAnsi="Noto Sans" w:cs="Noto Sans"/>
          <w:lang w:val="en-US" w:eastAsia="en-GB"/>
        </w:rPr>
        <w:t>find the funds to</w:t>
      </w:r>
      <w:r w:rsidRPr="0058636F">
        <w:rPr>
          <w:rFonts w:ascii="Noto Sans" w:eastAsia="Calibri" w:hAnsi="Noto Sans" w:cs="Noto Sans"/>
          <w:lang w:val="en-US" w:eastAsia="en-GB"/>
        </w:rPr>
        <w:t xml:space="preserve"> carry out significant and costly retrofit </w:t>
      </w:r>
      <w:proofErr w:type="spellStart"/>
      <w:r w:rsidRPr="0058636F">
        <w:rPr>
          <w:rFonts w:ascii="Noto Sans" w:eastAsia="Calibri" w:hAnsi="Noto Sans" w:cs="Noto Sans"/>
          <w:lang w:val="en-US" w:eastAsia="en-GB"/>
        </w:rPr>
        <w:t>programmes</w:t>
      </w:r>
      <w:proofErr w:type="spellEnd"/>
      <w:r w:rsidRPr="0058636F">
        <w:rPr>
          <w:rFonts w:ascii="Noto Sans" w:eastAsia="Calibri" w:hAnsi="Noto Sans" w:cs="Noto Sans"/>
          <w:lang w:val="en-US" w:eastAsia="en-GB"/>
        </w:rPr>
        <w:t xml:space="preserve"> for homes</w:t>
      </w:r>
      <w:r w:rsidR="007E0536">
        <w:rPr>
          <w:rFonts w:ascii="Noto Sans" w:eastAsia="Calibri" w:hAnsi="Noto Sans" w:cs="Noto Sans"/>
          <w:lang w:val="en-US" w:eastAsia="en-GB"/>
        </w:rPr>
        <w:t xml:space="preserve"> over the next </w:t>
      </w:r>
      <w:r w:rsidR="008F741D">
        <w:rPr>
          <w:rFonts w:ascii="Noto Sans" w:eastAsia="Calibri" w:hAnsi="Noto Sans" w:cs="Noto Sans"/>
          <w:lang w:val="en-US" w:eastAsia="en-GB"/>
        </w:rPr>
        <w:t>five</w:t>
      </w:r>
      <w:r w:rsidR="007E0536">
        <w:rPr>
          <w:rFonts w:ascii="Noto Sans" w:eastAsia="Calibri" w:hAnsi="Noto Sans" w:cs="Noto Sans"/>
          <w:lang w:val="en-US" w:eastAsia="en-GB"/>
        </w:rPr>
        <w:t xml:space="preserve"> years</w:t>
      </w:r>
      <w:r w:rsidR="008F741D">
        <w:rPr>
          <w:rFonts w:ascii="Noto Sans" w:eastAsia="Calibri" w:hAnsi="Noto Sans" w:cs="Noto Sans"/>
          <w:lang w:val="en-US" w:eastAsia="en-GB"/>
        </w:rPr>
        <w:t xml:space="preserve"> and beyond</w:t>
      </w:r>
      <w:r w:rsidRPr="0058636F">
        <w:rPr>
          <w:rFonts w:ascii="Noto Sans" w:eastAsia="Calibri" w:hAnsi="Noto Sans" w:cs="Noto Sans"/>
          <w:lang w:val="en-US" w:eastAsia="en-GB"/>
        </w:rPr>
        <w:t xml:space="preserve">. </w:t>
      </w:r>
    </w:p>
    <w:p w14:paraId="42622D4E" w14:textId="691256DE" w:rsidR="0058636F" w:rsidRPr="0058636F" w:rsidRDefault="00695082" w:rsidP="00FF2B5A">
      <w:pPr>
        <w:pStyle w:val="ListParagraph"/>
        <w:numPr>
          <w:ilvl w:val="0"/>
          <w:numId w:val="28"/>
        </w:numPr>
        <w:spacing w:after="120" w:line="259" w:lineRule="auto"/>
        <w:rPr>
          <w:rFonts w:ascii="Noto Sans" w:eastAsia="Calibri" w:hAnsi="Noto Sans" w:cs="Noto Sans"/>
          <w:b/>
          <w:bCs/>
          <w:color w:val="0070C0" w:themeColor="accent3"/>
          <w:lang w:val="en-US" w:eastAsia="en-GB"/>
        </w:rPr>
      </w:pPr>
      <w:r>
        <w:rPr>
          <w:rFonts w:ascii="Noto Sans" w:eastAsia="Calibri" w:hAnsi="Noto Sans" w:cs="Noto Sans"/>
          <w:b/>
          <w:bCs/>
          <w:color w:val="0070C0" w:themeColor="accent3"/>
          <w:lang w:val="en-US" w:eastAsia="en-GB"/>
        </w:rPr>
        <w:t>Providing much needed new additional homes</w:t>
      </w:r>
      <w:r w:rsidR="008B7956">
        <w:rPr>
          <w:rFonts w:ascii="Noto Sans" w:eastAsia="Calibri" w:hAnsi="Noto Sans" w:cs="Noto Sans"/>
          <w:b/>
          <w:bCs/>
          <w:color w:val="0070C0" w:themeColor="accent3"/>
          <w:lang w:val="en-US" w:eastAsia="en-GB"/>
        </w:rPr>
        <w:t>, and regenerating our estates</w:t>
      </w:r>
    </w:p>
    <w:p w14:paraId="492B227F" w14:textId="3DF2839B" w:rsidR="00C529C9" w:rsidRDefault="0058636F" w:rsidP="00C529C9">
      <w:pPr>
        <w:spacing w:after="120" w:line="259" w:lineRule="auto"/>
        <w:ind w:left="709"/>
        <w:rPr>
          <w:rFonts w:ascii="Noto Sans" w:eastAsia="Calibri" w:hAnsi="Noto Sans" w:cs="Noto Sans"/>
          <w:lang w:val="en-US" w:eastAsia="en-GB"/>
        </w:rPr>
      </w:pPr>
      <w:r w:rsidRPr="0058636F">
        <w:rPr>
          <w:rFonts w:ascii="Noto Sans" w:eastAsia="Calibri" w:hAnsi="Noto Sans" w:cs="Noto Sans"/>
          <w:lang w:val="en-US" w:eastAsia="en-GB"/>
        </w:rPr>
        <w:t xml:space="preserve">The Housing Revenue Account is </w:t>
      </w:r>
      <w:r w:rsidR="00036AEB">
        <w:rPr>
          <w:rFonts w:ascii="Noto Sans" w:eastAsia="Calibri" w:hAnsi="Noto Sans" w:cs="Noto Sans"/>
          <w:lang w:val="en-US" w:eastAsia="en-GB"/>
        </w:rPr>
        <w:t xml:space="preserve">especially </w:t>
      </w:r>
      <w:r w:rsidRPr="0058636F">
        <w:rPr>
          <w:rFonts w:ascii="Noto Sans" w:eastAsia="Calibri" w:hAnsi="Noto Sans" w:cs="Noto Sans"/>
          <w:lang w:val="en-US" w:eastAsia="en-GB"/>
        </w:rPr>
        <w:t xml:space="preserve">under pressure as we seek to deliver </w:t>
      </w:r>
      <w:r w:rsidR="00AE35DC">
        <w:rPr>
          <w:rFonts w:ascii="Noto Sans" w:eastAsia="Calibri" w:hAnsi="Noto Sans" w:cs="Noto Sans"/>
          <w:lang w:val="en-US" w:eastAsia="en-GB"/>
        </w:rPr>
        <w:t>the much-</w:t>
      </w:r>
      <w:r w:rsidR="00AE35DC" w:rsidRPr="00963195">
        <w:rPr>
          <w:rFonts w:ascii="Noto Sans" w:eastAsia="Calibri" w:hAnsi="Noto Sans" w:cs="Noto Sans"/>
          <w:lang w:val="en-US" w:eastAsia="en-GB"/>
        </w:rPr>
        <w:t xml:space="preserve">needed </w:t>
      </w:r>
      <w:r w:rsidRPr="00963195">
        <w:rPr>
          <w:rFonts w:ascii="Noto Sans" w:eastAsia="Calibri" w:hAnsi="Noto Sans" w:cs="Noto Sans"/>
          <w:lang w:val="en-US" w:eastAsia="en-GB"/>
        </w:rPr>
        <w:t xml:space="preserve">new additional homes our city needs. </w:t>
      </w:r>
      <w:r w:rsidR="00E945F4" w:rsidRPr="00963195">
        <w:rPr>
          <w:rFonts w:ascii="Noto Sans" w:eastAsia="Calibri" w:hAnsi="Noto Sans" w:cs="Noto Sans"/>
          <w:lang w:val="en-US" w:eastAsia="en-GB"/>
        </w:rPr>
        <w:t>We have ambitio</w:t>
      </w:r>
      <w:r w:rsidR="00334501" w:rsidRPr="00963195">
        <w:rPr>
          <w:rFonts w:ascii="Noto Sans" w:eastAsia="Calibri" w:hAnsi="Noto Sans" w:cs="Noto Sans"/>
          <w:lang w:val="en-US" w:eastAsia="en-GB"/>
        </w:rPr>
        <w:t>us plans in place</w:t>
      </w:r>
      <w:r w:rsidR="00E945F4" w:rsidRPr="00963195">
        <w:rPr>
          <w:rFonts w:ascii="Noto Sans" w:eastAsia="Calibri" w:hAnsi="Noto Sans" w:cs="Noto Sans"/>
          <w:lang w:val="en-US" w:eastAsia="en-GB"/>
        </w:rPr>
        <w:t xml:space="preserve"> to </w:t>
      </w:r>
      <w:r w:rsidR="003B628A">
        <w:rPr>
          <w:rFonts w:ascii="Noto Sans" w:eastAsia="Calibri" w:hAnsi="Noto Sans" w:cs="Noto Sans"/>
          <w:lang w:val="en-US" w:eastAsia="en-GB"/>
        </w:rPr>
        <w:t xml:space="preserve">acquire 352 and </w:t>
      </w:r>
      <w:r w:rsidR="00E945F4" w:rsidRPr="00963195">
        <w:rPr>
          <w:rFonts w:ascii="Noto Sans" w:eastAsia="Calibri" w:hAnsi="Noto Sans" w:cs="Noto Sans"/>
          <w:lang w:val="en-US" w:eastAsia="en-GB"/>
        </w:rPr>
        <w:t xml:space="preserve">build </w:t>
      </w:r>
      <w:r w:rsidR="003B628A">
        <w:rPr>
          <w:rFonts w:ascii="Noto Sans" w:eastAsia="Calibri" w:hAnsi="Noto Sans" w:cs="Noto Sans"/>
          <w:lang w:val="en-US" w:eastAsia="en-GB"/>
        </w:rPr>
        <w:t xml:space="preserve">a further </w:t>
      </w:r>
      <w:r w:rsidR="00E945F4" w:rsidRPr="00963195">
        <w:rPr>
          <w:rFonts w:ascii="Noto Sans" w:eastAsia="Calibri" w:hAnsi="Noto Sans" w:cs="Noto Sans"/>
          <w:lang w:val="en-US" w:eastAsia="en-GB"/>
        </w:rPr>
        <w:t>1,</w:t>
      </w:r>
      <w:r w:rsidR="00A30FB4" w:rsidRPr="00963195">
        <w:rPr>
          <w:rFonts w:ascii="Noto Sans" w:eastAsia="Calibri" w:hAnsi="Noto Sans" w:cs="Noto Sans"/>
          <w:lang w:val="en-US" w:eastAsia="en-GB"/>
        </w:rPr>
        <w:t>0</w:t>
      </w:r>
      <w:r w:rsidR="00A30FB4">
        <w:rPr>
          <w:rFonts w:ascii="Noto Sans" w:eastAsia="Calibri" w:hAnsi="Noto Sans" w:cs="Noto Sans"/>
          <w:lang w:val="en-US" w:eastAsia="en-GB"/>
        </w:rPr>
        <w:t>21</w:t>
      </w:r>
      <w:r w:rsidR="00A30FB4" w:rsidRPr="00963195">
        <w:rPr>
          <w:rFonts w:ascii="Noto Sans" w:eastAsia="Calibri" w:hAnsi="Noto Sans" w:cs="Noto Sans"/>
          <w:lang w:val="en-US" w:eastAsia="en-GB"/>
        </w:rPr>
        <w:t xml:space="preserve"> </w:t>
      </w:r>
      <w:r w:rsidR="00E945F4" w:rsidRPr="00963195">
        <w:rPr>
          <w:rFonts w:ascii="Noto Sans" w:eastAsia="Calibri" w:hAnsi="Noto Sans" w:cs="Noto Sans"/>
          <w:lang w:val="en-US" w:eastAsia="en-GB"/>
        </w:rPr>
        <w:t>new, modern homes</w:t>
      </w:r>
      <w:r w:rsidR="00643665" w:rsidRPr="00963195">
        <w:rPr>
          <w:rFonts w:ascii="Noto Sans" w:eastAsia="Calibri" w:hAnsi="Noto Sans" w:cs="Noto Sans"/>
          <w:lang w:val="en-US" w:eastAsia="en-GB"/>
        </w:rPr>
        <w:t xml:space="preserve"> </w:t>
      </w:r>
      <w:r w:rsidR="009859BC" w:rsidRPr="00963195">
        <w:rPr>
          <w:rFonts w:ascii="Noto Sans" w:eastAsia="Calibri" w:hAnsi="Noto Sans" w:cs="Noto Sans"/>
          <w:lang w:val="en-US" w:eastAsia="en-GB"/>
        </w:rPr>
        <w:t>over the next five years</w:t>
      </w:r>
      <w:r w:rsidR="00643665" w:rsidRPr="00963195">
        <w:rPr>
          <w:rFonts w:ascii="Noto Sans" w:eastAsia="Calibri" w:hAnsi="Noto Sans" w:cs="Noto Sans"/>
          <w:lang w:val="en-US" w:eastAsia="en-GB"/>
        </w:rPr>
        <w:t xml:space="preserve">, </w:t>
      </w:r>
      <w:r w:rsidR="0085558D" w:rsidRPr="00963195">
        <w:rPr>
          <w:rFonts w:ascii="Noto Sans" w:eastAsia="Calibri" w:hAnsi="Noto Sans" w:cs="Noto Sans"/>
          <w:lang w:val="en-US" w:eastAsia="en-GB"/>
        </w:rPr>
        <w:t xml:space="preserve">with most of the </w:t>
      </w:r>
      <w:r w:rsidR="00963195" w:rsidRPr="00963195">
        <w:rPr>
          <w:rFonts w:ascii="Noto Sans" w:eastAsia="Calibri" w:hAnsi="Noto Sans" w:cs="Noto Sans"/>
          <w:lang w:val="en-US" w:eastAsia="en-GB"/>
        </w:rPr>
        <w:t>rented homes let</w:t>
      </w:r>
      <w:r w:rsidR="00643665" w:rsidRPr="00963195">
        <w:rPr>
          <w:rFonts w:ascii="Noto Sans" w:eastAsia="Calibri" w:hAnsi="Noto Sans" w:cs="Noto Sans"/>
          <w:lang w:val="en-US" w:eastAsia="en-GB"/>
        </w:rPr>
        <w:t xml:space="preserve"> on social rents. </w:t>
      </w:r>
      <w:r w:rsidR="00AF7FE4" w:rsidRPr="00963195">
        <w:rPr>
          <w:rFonts w:ascii="Noto Sans" w:eastAsia="Calibri" w:hAnsi="Noto Sans" w:cs="Noto Sans"/>
          <w:lang w:val="en-US" w:eastAsia="en-GB"/>
        </w:rPr>
        <w:t xml:space="preserve">To deliver our plans </w:t>
      </w:r>
      <w:r w:rsidR="006D3DD6" w:rsidRPr="00963195">
        <w:rPr>
          <w:rFonts w:ascii="Noto Sans" w:eastAsia="Calibri" w:hAnsi="Noto Sans" w:cs="Noto Sans"/>
          <w:lang w:val="en-US" w:eastAsia="en-GB"/>
        </w:rPr>
        <w:t>it requires</w:t>
      </w:r>
      <w:r w:rsidR="006D3DD6">
        <w:rPr>
          <w:rFonts w:ascii="Noto Sans" w:eastAsia="Calibri" w:hAnsi="Noto Sans" w:cs="Noto Sans"/>
          <w:lang w:val="en-US" w:eastAsia="en-GB"/>
        </w:rPr>
        <w:t xml:space="preserve"> us to </w:t>
      </w:r>
      <w:proofErr w:type="spellStart"/>
      <w:r w:rsidR="006D3DD6">
        <w:rPr>
          <w:rFonts w:ascii="Noto Sans" w:eastAsia="Calibri" w:hAnsi="Noto Sans" w:cs="Noto Sans"/>
          <w:lang w:val="en-US" w:eastAsia="en-GB"/>
        </w:rPr>
        <w:t>maximise</w:t>
      </w:r>
      <w:proofErr w:type="spellEnd"/>
      <w:r w:rsidR="006D3DD6">
        <w:rPr>
          <w:rFonts w:ascii="Noto Sans" w:eastAsia="Calibri" w:hAnsi="Noto Sans" w:cs="Noto Sans"/>
          <w:lang w:val="en-US" w:eastAsia="en-GB"/>
        </w:rPr>
        <w:t xml:space="preserve"> our borrowing</w:t>
      </w:r>
      <w:r w:rsidR="00EE0670">
        <w:rPr>
          <w:rFonts w:ascii="Noto Sans" w:eastAsia="Calibri" w:hAnsi="Noto Sans" w:cs="Noto Sans"/>
          <w:lang w:val="en-US" w:eastAsia="en-GB"/>
        </w:rPr>
        <w:t xml:space="preserve">. At the same time, we </w:t>
      </w:r>
      <w:r w:rsidR="00940D47">
        <w:rPr>
          <w:rFonts w:ascii="Noto Sans" w:eastAsia="Calibri" w:hAnsi="Noto Sans" w:cs="Noto Sans"/>
          <w:lang w:val="en-US" w:eastAsia="en-GB"/>
        </w:rPr>
        <w:t>are committed to helping deliver the</w:t>
      </w:r>
      <w:r w:rsidR="00940D47" w:rsidRPr="00940D47">
        <w:rPr>
          <w:rFonts w:ascii="Noto Sans" w:eastAsia="Calibri" w:hAnsi="Noto Sans" w:cs="Noto Sans"/>
          <w:lang w:val="en-US" w:eastAsia="en-GB"/>
        </w:rPr>
        <w:t xml:space="preserve"> Council’s Thriving Communities Strategy</w:t>
      </w:r>
      <w:r w:rsidR="00940D47">
        <w:rPr>
          <w:rFonts w:ascii="Noto Sans" w:eastAsia="Calibri" w:hAnsi="Noto Sans" w:cs="Noto Sans"/>
          <w:lang w:val="en-US" w:eastAsia="en-GB"/>
        </w:rPr>
        <w:t xml:space="preserve">. This </w:t>
      </w:r>
      <w:r w:rsidR="00940D47" w:rsidRPr="00940D47">
        <w:rPr>
          <w:rFonts w:ascii="Noto Sans" w:eastAsia="Calibri" w:hAnsi="Noto Sans" w:cs="Noto Sans"/>
          <w:lang w:val="en-US" w:eastAsia="en-GB"/>
        </w:rPr>
        <w:t xml:space="preserve">puts a renewed emphasis on ‘place-making’ and the importance of </w:t>
      </w:r>
      <w:proofErr w:type="spellStart"/>
      <w:r w:rsidR="00940D47" w:rsidRPr="00940D47">
        <w:rPr>
          <w:rFonts w:ascii="Noto Sans" w:eastAsia="Calibri" w:hAnsi="Noto Sans" w:cs="Noto Sans"/>
          <w:lang w:val="en-US" w:eastAsia="en-GB"/>
        </w:rPr>
        <w:t>neighbourhoods</w:t>
      </w:r>
      <w:proofErr w:type="spellEnd"/>
      <w:r w:rsidR="00940D47" w:rsidRPr="00940D47">
        <w:rPr>
          <w:rFonts w:ascii="Noto Sans" w:eastAsia="Calibri" w:hAnsi="Noto Sans" w:cs="Noto Sans"/>
          <w:lang w:val="en-US" w:eastAsia="en-GB"/>
        </w:rPr>
        <w:t xml:space="preserve"> being safe and successful communities. </w:t>
      </w:r>
      <w:r w:rsidR="0048367B">
        <w:rPr>
          <w:rFonts w:ascii="Noto Sans" w:eastAsia="Calibri" w:hAnsi="Noto Sans" w:cs="Noto Sans"/>
          <w:lang w:val="en-US" w:eastAsia="en-GB"/>
        </w:rPr>
        <w:t>W</w:t>
      </w:r>
      <w:r w:rsidR="00940D47" w:rsidRPr="00940D47">
        <w:rPr>
          <w:rFonts w:ascii="Noto Sans" w:eastAsia="Calibri" w:hAnsi="Noto Sans" w:cs="Noto Sans"/>
          <w:lang w:val="en-US" w:eastAsia="en-GB"/>
        </w:rPr>
        <w:t xml:space="preserve">e need to play a role in </w:t>
      </w:r>
      <w:r w:rsidR="0048367B">
        <w:rPr>
          <w:rFonts w:ascii="Noto Sans" w:eastAsia="Calibri" w:hAnsi="Noto Sans" w:cs="Noto Sans"/>
          <w:lang w:val="en-US" w:eastAsia="en-GB"/>
        </w:rPr>
        <w:t xml:space="preserve">resourcing and </w:t>
      </w:r>
      <w:r w:rsidR="00940D47" w:rsidRPr="00940D47">
        <w:rPr>
          <w:rFonts w:ascii="Noto Sans" w:eastAsia="Calibri" w:hAnsi="Noto Sans" w:cs="Noto Sans"/>
          <w:lang w:val="en-US" w:eastAsia="en-GB"/>
        </w:rPr>
        <w:t xml:space="preserve">directing how we will provide well-managed and well-maintained estates, with good quality green space, external and internal communal areas.  </w:t>
      </w:r>
    </w:p>
    <w:p w14:paraId="7B661153" w14:textId="43C3CA0D" w:rsidR="00144C11" w:rsidRPr="00C529C9" w:rsidRDefault="00144C11" w:rsidP="00C529C9">
      <w:pPr>
        <w:spacing w:after="120" w:line="259" w:lineRule="auto"/>
        <w:rPr>
          <w:rFonts w:ascii="Noto Sans" w:eastAsia="Calibri" w:hAnsi="Noto Sans" w:cs="Noto Sans"/>
          <w:lang w:val="en-US" w:eastAsia="en-GB"/>
        </w:rPr>
      </w:pPr>
      <w:r>
        <w:rPr>
          <w:rFonts w:ascii="Noto Sans" w:eastAsia="Calibri" w:hAnsi="Noto Sans" w:cs="Noto Sans"/>
          <w:b/>
          <w:bCs/>
          <w:color w:val="0070C0" w:themeColor="accent3"/>
          <w:sz w:val="28"/>
          <w:szCs w:val="28"/>
          <w:lang w:val="en-US" w:eastAsia="en-GB"/>
        </w:rPr>
        <w:t>HRA housing stock overview</w:t>
      </w:r>
    </w:p>
    <w:p w14:paraId="4E7B38FE" w14:textId="44B910B1" w:rsidR="00986EDF" w:rsidRDefault="00C3415B" w:rsidP="00144C11">
      <w:pPr>
        <w:keepNext/>
        <w:keepLines/>
        <w:spacing w:after="80" w:line="259" w:lineRule="auto"/>
        <w:outlineLvl w:val="0"/>
        <w:rPr>
          <w:rFonts w:ascii="Noto Sans" w:eastAsia="Calibri" w:hAnsi="Noto Sans" w:cs="Noto Sans"/>
          <w:lang w:val="en-US" w:eastAsia="en-GB"/>
        </w:rPr>
      </w:pPr>
      <w:r w:rsidRPr="00C3415B">
        <w:rPr>
          <w:rFonts w:ascii="Noto Sans" w:eastAsia="Calibri" w:hAnsi="Noto Sans" w:cs="Noto Sans"/>
          <w:lang w:val="en-US" w:eastAsia="en-GB"/>
        </w:rPr>
        <w:t xml:space="preserve">The City Council is the largest social landlord in the city, with </w:t>
      </w:r>
      <w:r w:rsidR="00144C11">
        <w:rPr>
          <w:rFonts w:ascii="Noto Sans" w:eastAsia="Calibri" w:hAnsi="Noto Sans" w:cs="Noto Sans"/>
          <w:lang w:val="en-US" w:eastAsia="en-GB"/>
        </w:rPr>
        <w:t>nearly 8,000</w:t>
      </w:r>
      <w:r w:rsidRPr="00C3415B">
        <w:rPr>
          <w:rFonts w:ascii="Noto Sans" w:eastAsia="Calibri" w:hAnsi="Noto Sans" w:cs="Noto Sans"/>
          <w:lang w:val="en-US" w:eastAsia="en-GB"/>
        </w:rPr>
        <w:t xml:space="preserve"> homes that we own and let to those in housing need.</w:t>
      </w:r>
    </w:p>
    <w:p w14:paraId="44313A2F" w14:textId="0AC22E7F" w:rsidR="008F1A32" w:rsidRDefault="00C529C9" w:rsidP="00144C11">
      <w:pPr>
        <w:keepNext/>
        <w:keepLines/>
        <w:spacing w:after="80" w:line="259" w:lineRule="auto"/>
        <w:outlineLvl w:val="0"/>
        <w:rPr>
          <w:rFonts w:ascii="Noto Sans" w:eastAsia="Calibri" w:hAnsi="Noto Sans" w:cs="Noto Sans"/>
          <w:lang w:val="en-US" w:eastAsia="en-GB"/>
        </w:rPr>
      </w:pPr>
      <w:r>
        <w:rPr>
          <w:rFonts w:cstheme="minorHAnsi"/>
          <w:noProof/>
        </w:rPr>
        <w:drawing>
          <wp:anchor distT="0" distB="0" distL="114300" distR="114300" simplePos="0" relativeHeight="251661312" behindDoc="0" locked="0" layoutInCell="1" allowOverlap="1" wp14:anchorId="69F26665" wp14:editId="4E445067">
            <wp:simplePos x="0" y="0"/>
            <wp:positionH relativeFrom="margin">
              <wp:posOffset>260350</wp:posOffset>
            </wp:positionH>
            <wp:positionV relativeFrom="paragraph">
              <wp:posOffset>159385</wp:posOffset>
            </wp:positionV>
            <wp:extent cx="2526665" cy="2366010"/>
            <wp:effectExtent l="0" t="0" r="6985" b="0"/>
            <wp:wrapSquare wrapText="bothSides"/>
            <wp:docPr id="2132910581" name="Picture 2"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62995" name="Picture 2" descr="A pie chart with different colored circle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21665" t="5278" r="18459" b="5260"/>
                    <a:stretch/>
                  </pic:blipFill>
                  <pic:spPr bwMode="auto">
                    <a:xfrm>
                      <a:off x="0" y="0"/>
                      <a:ext cx="2526665" cy="2366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Spec="right" w:tblpY="-36"/>
        <w:tblW w:w="0" w:type="auto"/>
        <w:tblLook w:val="04A0" w:firstRow="1" w:lastRow="0" w:firstColumn="1" w:lastColumn="0" w:noHBand="0" w:noVBand="1"/>
      </w:tblPr>
      <w:tblGrid>
        <w:gridCol w:w="3685"/>
      </w:tblGrid>
      <w:tr w:rsidR="00AB5102" w14:paraId="718F3551" w14:textId="77777777" w:rsidTr="00CF1F3D">
        <w:tc>
          <w:tcPr>
            <w:tcW w:w="3685" w:type="dxa"/>
            <w:shd w:val="clear" w:color="auto" w:fill="373266" w:themeFill="text2"/>
          </w:tcPr>
          <w:p w14:paraId="6A7A5156" w14:textId="77777777" w:rsidR="00AB5102" w:rsidRPr="00C42412" w:rsidRDefault="00AB5102" w:rsidP="00CF1F3D">
            <w:pPr>
              <w:shd w:val="clear" w:color="auto" w:fill="373266" w:themeFill="text2"/>
              <w:spacing w:before="120" w:after="120" w:line="259" w:lineRule="auto"/>
              <w:rPr>
                <w:rFonts w:ascii="Noto Sans" w:eastAsia="Calibri" w:hAnsi="Noto Sans" w:cs="Noto Sans"/>
                <w:b/>
                <w:bCs/>
                <w:lang w:eastAsia="en-GB"/>
              </w:rPr>
            </w:pPr>
            <w:r w:rsidRPr="00DC5B2C">
              <w:rPr>
                <w:rFonts w:ascii="Noto Sans" w:eastAsia="Calibri" w:hAnsi="Noto Sans" w:cs="Noto Sans"/>
                <w:b/>
                <w:bCs/>
                <w:lang w:eastAsia="en-GB"/>
              </w:rPr>
              <w:t xml:space="preserve">We own and manage almost 8,000 homes </w:t>
            </w:r>
            <w:r>
              <w:rPr>
                <w:rFonts w:ascii="Noto Sans" w:eastAsia="Calibri" w:hAnsi="Noto Sans" w:cs="Noto Sans"/>
                <w:b/>
                <w:bCs/>
                <w:lang w:eastAsia="en-GB"/>
              </w:rPr>
              <w:t xml:space="preserve">in the HRA </w:t>
            </w:r>
            <w:r w:rsidRPr="00DC5B2C">
              <w:rPr>
                <w:rFonts w:ascii="Noto Sans" w:eastAsia="Calibri" w:hAnsi="Noto Sans" w:cs="Noto Sans"/>
                <w:b/>
                <w:bCs/>
                <w:lang w:eastAsia="en-GB"/>
              </w:rPr>
              <w:t>with a mix of ages, types, and sizes.</w:t>
            </w:r>
            <w:r w:rsidRPr="000866A0">
              <w:rPr>
                <w:rFonts w:ascii="Noto Sans" w:eastAsia="Calibri" w:hAnsi="Noto Sans" w:cs="Noto Sans"/>
                <w:b/>
                <w:bCs/>
                <w:lang w:eastAsia="en-GB"/>
              </w:rPr>
              <w:t xml:space="preserve"> </w:t>
            </w:r>
            <w:r w:rsidRPr="000866A0">
              <w:t xml:space="preserve"> </w:t>
            </w:r>
            <w:r w:rsidRPr="000866A0">
              <w:rPr>
                <w:rFonts w:ascii="Noto Sans" w:eastAsia="Calibri" w:hAnsi="Noto Sans" w:cs="Noto Sans"/>
                <w:b/>
                <w:bCs/>
                <w:lang w:eastAsia="en-GB"/>
              </w:rPr>
              <w:t>We have an ageing stock of properties, with well over half being over 60 years old.</w:t>
            </w:r>
            <w:r>
              <w:rPr>
                <w:rFonts w:ascii="Noto Sans" w:eastAsia="Calibri" w:hAnsi="Noto Sans" w:cs="Noto Sans"/>
                <w:b/>
                <w:bCs/>
                <w:lang w:eastAsia="en-GB"/>
              </w:rPr>
              <w:t xml:space="preserve"> Half of homes are houses, whilst nearly a third are flats.</w:t>
            </w:r>
          </w:p>
        </w:tc>
      </w:tr>
    </w:tbl>
    <w:p w14:paraId="79D65C69" w14:textId="77777777" w:rsidR="00C529C9" w:rsidRDefault="00C529C9" w:rsidP="00C529C9">
      <w:pPr>
        <w:pStyle w:val="ListParagraph"/>
        <w:ind w:left="567"/>
        <w:rPr>
          <w:rFonts w:ascii="Noto Sans" w:eastAsia="Calibri" w:hAnsi="Noto Sans" w:cs="Noto Sans"/>
          <w:b/>
          <w:bCs/>
          <w:color w:val="0070C0" w:themeColor="accent1"/>
          <w:sz w:val="36"/>
          <w:szCs w:val="36"/>
          <w:lang w:val="en-US" w:eastAsia="en-GB"/>
        </w:rPr>
      </w:pPr>
    </w:p>
    <w:p w14:paraId="45EF240D" w14:textId="77777777" w:rsidR="00C529C9" w:rsidRDefault="00C529C9">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68379203" w14:textId="2FA41CBC" w:rsidR="002479FF" w:rsidRDefault="00B869EC"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 xml:space="preserve">Providing </w:t>
      </w:r>
      <w:r w:rsidR="002479FF">
        <w:rPr>
          <w:rFonts w:ascii="Noto Sans" w:eastAsia="Calibri" w:hAnsi="Noto Sans" w:cs="Noto Sans"/>
          <w:b/>
          <w:bCs/>
          <w:color w:val="0070C0" w:themeColor="accent1"/>
          <w:sz w:val="36"/>
          <w:szCs w:val="36"/>
          <w:lang w:val="en-US" w:eastAsia="en-GB"/>
        </w:rPr>
        <w:t>services for tenants</w:t>
      </w:r>
    </w:p>
    <w:p w14:paraId="34BDE2D7" w14:textId="77777777" w:rsidR="002479FF" w:rsidRDefault="002479FF" w:rsidP="002479FF">
      <w:pPr>
        <w:ind w:left="-76"/>
        <w:rPr>
          <w:rFonts w:ascii="Noto Sans" w:eastAsia="Calibri" w:hAnsi="Noto Sans" w:cs="Noto Sans"/>
          <w:lang w:val="en-US" w:eastAsia="en-GB"/>
        </w:rPr>
      </w:pPr>
    </w:p>
    <w:p w14:paraId="7E45A041" w14:textId="42244141" w:rsidR="002479FF" w:rsidRPr="009C03BC" w:rsidRDefault="008C5F9E" w:rsidP="00817E10">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 xml:space="preserve">As a council run social housing landlord </w:t>
      </w:r>
      <w:r w:rsidR="000F55CC" w:rsidRPr="009C03BC">
        <w:rPr>
          <w:rFonts w:ascii="Noto Sans" w:eastAsia="Calibri" w:hAnsi="Noto Sans" w:cs="Noto Sans"/>
          <w:b/>
          <w:bCs/>
          <w:lang w:val="en-US" w:eastAsia="en-GB"/>
        </w:rPr>
        <w:t xml:space="preserve">it is crucial that we </w:t>
      </w:r>
      <w:proofErr w:type="spellStart"/>
      <w:r w:rsidR="000F55CC" w:rsidRPr="009C03BC">
        <w:rPr>
          <w:rFonts w:ascii="Noto Sans" w:eastAsia="Calibri" w:hAnsi="Noto Sans" w:cs="Noto Sans"/>
          <w:b/>
          <w:bCs/>
          <w:lang w:val="en-US" w:eastAsia="en-GB"/>
        </w:rPr>
        <w:t>maximise</w:t>
      </w:r>
      <w:proofErr w:type="spellEnd"/>
      <w:r w:rsidR="000F55CC" w:rsidRPr="009C03BC">
        <w:rPr>
          <w:rFonts w:ascii="Noto Sans" w:eastAsia="Calibri" w:hAnsi="Noto Sans" w:cs="Noto Sans"/>
          <w:b/>
          <w:bCs/>
          <w:lang w:val="en-US" w:eastAsia="en-GB"/>
        </w:rPr>
        <w:t xml:space="preserve"> the use of the Housing Revenue Account to provide </w:t>
      </w:r>
      <w:r w:rsidR="00F44E29" w:rsidRPr="009C03BC">
        <w:rPr>
          <w:rFonts w:ascii="Noto Sans" w:eastAsia="Calibri" w:hAnsi="Noto Sans" w:cs="Noto Sans"/>
          <w:b/>
          <w:bCs/>
          <w:lang w:val="en-US" w:eastAsia="en-GB"/>
        </w:rPr>
        <w:t xml:space="preserve">a wide range of </w:t>
      </w:r>
      <w:r w:rsidR="00D05001" w:rsidRPr="009C03BC">
        <w:rPr>
          <w:rFonts w:ascii="Noto Sans" w:eastAsia="Calibri" w:hAnsi="Noto Sans" w:cs="Noto Sans"/>
          <w:b/>
          <w:bCs/>
          <w:lang w:val="en-US" w:eastAsia="en-GB"/>
        </w:rPr>
        <w:t>‘</w:t>
      </w:r>
      <w:r w:rsidR="00F44E29" w:rsidRPr="009C03BC">
        <w:rPr>
          <w:rFonts w:ascii="Noto Sans" w:eastAsia="Calibri" w:hAnsi="Noto Sans" w:cs="Noto Sans"/>
          <w:b/>
          <w:bCs/>
          <w:lang w:val="en-US" w:eastAsia="en-GB"/>
        </w:rPr>
        <w:t>core</w:t>
      </w:r>
      <w:r w:rsidR="00D05001" w:rsidRPr="009C03BC">
        <w:rPr>
          <w:rFonts w:ascii="Noto Sans" w:eastAsia="Calibri" w:hAnsi="Noto Sans" w:cs="Noto Sans"/>
          <w:b/>
          <w:bCs/>
          <w:lang w:val="en-US" w:eastAsia="en-GB"/>
        </w:rPr>
        <w:t>’</w:t>
      </w:r>
      <w:r w:rsidR="00F44E29" w:rsidRPr="009C03BC">
        <w:rPr>
          <w:rFonts w:ascii="Noto Sans" w:eastAsia="Calibri" w:hAnsi="Noto Sans" w:cs="Noto Sans"/>
          <w:b/>
          <w:bCs/>
          <w:lang w:val="en-US" w:eastAsia="en-GB"/>
        </w:rPr>
        <w:t xml:space="preserve"> and </w:t>
      </w:r>
      <w:r w:rsidR="00D05001" w:rsidRPr="009C03BC">
        <w:rPr>
          <w:rFonts w:ascii="Noto Sans" w:eastAsia="Calibri" w:hAnsi="Noto Sans" w:cs="Noto Sans"/>
          <w:b/>
          <w:bCs/>
          <w:lang w:val="en-US" w:eastAsia="en-GB"/>
        </w:rPr>
        <w:t xml:space="preserve">‘added value’ services to </w:t>
      </w:r>
      <w:r w:rsidR="00F418D5" w:rsidRPr="009C03BC">
        <w:rPr>
          <w:rFonts w:ascii="Noto Sans" w:eastAsia="Calibri" w:hAnsi="Noto Sans" w:cs="Noto Sans"/>
          <w:b/>
          <w:bCs/>
          <w:lang w:val="en-US" w:eastAsia="en-GB"/>
        </w:rPr>
        <w:t xml:space="preserve">tenants and communities. </w:t>
      </w:r>
      <w:r w:rsidR="00635581" w:rsidRPr="009C03BC">
        <w:rPr>
          <w:rFonts w:ascii="Noto Sans" w:eastAsia="Calibri" w:hAnsi="Noto Sans" w:cs="Noto Sans"/>
          <w:b/>
          <w:bCs/>
          <w:lang w:val="en-US" w:eastAsia="en-GB"/>
        </w:rPr>
        <w:t xml:space="preserve">The HRA </w:t>
      </w:r>
      <w:r w:rsidR="003C076F" w:rsidRPr="009C03BC">
        <w:rPr>
          <w:rFonts w:ascii="Noto Sans" w:eastAsia="Calibri" w:hAnsi="Noto Sans" w:cs="Noto Sans"/>
          <w:b/>
          <w:bCs/>
          <w:lang w:val="en-US" w:eastAsia="en-GB"/>
        </w:rPr>
        <w:t xml:space="preserve">provides the means </w:t>
      </w:r>
      <w:r w:rsidR="008F34FB" w:rsidRPr="009C03BC">
        <w:rPr>
          <w:rFonts w:ascii="Noto Sans" w:eastAsia="Calibri" w:hAnsi="Noto Sans" w:cs="Noto Sans"/>
          <w:b/>
          <w:bCs/>
          <w:lang w:val="en-US" w:eastAsia="en-GB"/>
        </w:rPr>
        <w:t xml:space="preserve">for us to </w:t>
      </w:r>
      <w:r w:rsidR="00CD73A5" w:rsidRPr="009C03BC">
        <w:rPr>
          <w:rFonts w:ascii="Noto Sans" w:eastAsia="Calibri" w:hAnsi="Noto Sans" w:cs="Noto Sans"/>
          <w:b/>
          <w:bCs/>
          <w:lang w:val="en-US" w:eastAsia="en-GB"/>
        </w:rPr>
        <w:t>carry out our day</w:t>
      </w:r>
      <w:r w:rsidR="00FE2663" w:rsidRPr="009C03BC">
        <w:rPr>
          <w:rFonts w:ascii="Noto Sans" w:eastAsia="Calibri" w:hAnsi="Noto Sans" w:cs="Noto Sans"/>
          <w:b/>
          <w:bCs/>
          <w:lang w:val="en-US" w:eastAsia="en-GB"/>
        </w:rPr>
        <w:t>-</w:t>
      </w:r>
      <w:r w:rsidR="00CD73A5" w:rsidRPr="009C03BC">
        <w:rPr>
          <w:rFonts w:ascii="Noto Sans" w:eastAsia="Calibri" w:hAnsi="Noto Sans" w:cs="Noto Sans"/>
          <w:b/>
          <w:bCs/>
          <w:lang w:val="en-US" w:eastAsia="en-GB"/>
        </w:rPr>
        <w:t>to</w:t>
      </w:r>
      <w:r w:rsidR="00FE2663" w:rsidRPr="009C03BC">
        <w:rPr>
          <w:rFonts w:ascii="Noto Sans" w:eastAsia="Calibri" w:hAnsi="Noto Sans" w:cs="Noto Sans"/>
          <w:b/>
          <w:bCs/>
          <w:lang w:val="en-US" w:eastAsia="en-GB"/>
        </w:rPr>
        <w:t>-</w:t>
      </w:r>
      <w:r w:rsidR="00CD73A5" w:rsidRPr="009C03BC">
        <w:rPr>
          <w:rFonts w:ascii="Noto Sans" w:eastAsia="Calibri" w:hAnsi="Noto Sans" w:cs="Noto Sans"/>
          <w:b/>
          <w:bCs/>
          <w:lang w:val="en-US" w:eastAsia="en-GB"/>
        </w:rPr>
        <w:t xml:space="preserve">day </w:t>
      </w:r>
      <w:r w:rsidR="009F245D" w:rsidRPr="009C03BC">
        <w:rPr>
          <w:rFonts w:ascii="Noto Sans" w:eastAsia="Calibri" w:hAnsi="Noto Sans" w:cs="Noto Sans"/>
          <w:b/>
          <w:bCs/>
          <w:lang w:val="en-US" w:eastAsia="en-GB"/>
        </w:rPr>
        <w:t xml:space="preserve">housing management, repair and maintenance and </w:t>
      </w:r>
      <w:proofErr w:type="spellStart"/>
      <w:r w:rsidR="009F245D" w:rsidRPr="009C03BC">
        <w:rPr>
          <w:rFonts w:ascii="Noto Sans" w:eastAsia="Calibri" w:hAnsi="Noto Sans" w:cs="Noto Sans"/>
          <w:b/>
          <w:bCs/>
          <w:lang w:val="en-US" w:eastAsia="en-GB"/>
        </w:rPr>
        <w:t>neighbourhood</w:t>
      </w:r>
      <w:proofErr w:type="spellEnd"/>
      <w:r w:rsidR="009F245D" w:rsidRPr="009C03BC">
        <w:rPr>
          <w:rFonts w:ascii="Noto Sans" w:eastAsia="Calibri" w:hAnsi="Noto Sans" w:cs="Noto Sans"/>
          <w:b/>
          <w:bCs/>
          <w:lang w:val="en-US" w:eastAsia="en-GB"/>
        </w:rPr>
        <w:t xml:space="preserve"> management work</w:t>
      </w:r>
      <w:r w:rsidR="00493DC4" w:rsidRPr="009C03BC">
        <w:rPr>
          <w:rFonts w:ascii="Noto Sans" w:eastAsia="Calibri" w:hAnsi="Noto Sans" w:cs="Noto Sans"/>
          <w:b/>
          <w:bCs/>
          <w:lang w:val="en-US" w:eastAsia="en-GB"/>
        </w:rPr>
        <w:t xml:space="preserve">, </w:t>
      </w:r>
      <w:r w:rsidR="00E61916" w:rsidRPr="009C03BC">
        <w:rPr>
          <w:rFonts w:ascii="Noto Sans" w:eastAsia="Calibri" w:hAnsi="Noto Sans" w:cs="Noto Sans"/>
          <w:b/>
          <w:bCs/>
          <w:lang w:val="en-US" w:eastAsia="en-GB"/>
        </w:rPr>
        <w:t>le</w:t>
      </w:r>
      <w:r w:rsidR="0001108D" w:rsidRPr="009C03BC">
        <w:rPr>
          <w:rFonts w:ascii="Noto Sans" w:eastAsia="Calibri" w:hAnsi="Noto Sans" w:cs="Noto Sans"/>
          <w:b/>
          <w:bCs/>
          <w:lang w:val="en-US" w:eastAsia="en-GB"/>
        </w:rPr>
        <w:t xml:space="preserve">tting homes and helping sustain tenancies for some of the most vulnerable </w:t>
      </w:r>
      <w:r w:rsidR="003F4094" w:rsidRPr="009C03BC">
        <w:rPr>
          <w:rFonts w:ascii="Noto Sans" w:eastAsia="Calibri" w:hAnsi="Noto Sans" w:cs="Noto Sans"/>
          <w:b/>
          <w:bCs/>
          <w:lang w:val="en-US" w:eastAsia="en-GB"/>
        </w:rPr>
        <w:t>in our society.</w:t>
      </w:r>
      <w:r w:rsidR="00F74F6A" w:rsidRPr="009C03BC">
        <w:rPr>
          <w:rFonts w:ascii="Noto Sans" w:eastAsia="Calibri" w:hAnsi="Noto Sans" w:cs="Noto Sans"/>
          <w:b/>
          <w:bCs/>
          <w:lang w:val="en-US" w:eastAsia="en-GB"/>
        </w:rPr>
        <w:t xml:space="preserve"> The cost of providing these </w:t>
      </w:r>
      <w:r w:rsidR="00FE2663" w:rsidRPr="009C03BC">
        <w:rPr>
          <w:rFonts w:ascii="Noto Sans" w:eastAsia="Calibri" w:hAnsi="Noto Sans" w:cs="Noto Sans"/>
          <w:b/>
          <w:bCs/>
          <w:lang w:val="en-US" w:eastAsia="en-GB"/>
        </w:rPr>
        <w:t xml:space="preserve">critical services is considerable and </w:t>
      </w:r>
      <w:r w:rsidR="00156136" w:rsidRPr="009C03BC">
        <w:rPr>
          <w:rFonts w:ascii="Noto Sans" w:eastAsia="Calibri" w:hAnsi="Noto Sans" w:cs="Noto Sans"/>
          <w:b/>
          <w:bCs/>
          <w:lang w:val="en-US" w:eastAsia="en-GB"/>
        </w:rPr>
        <w:t>we must therefore</w:t>
      </w:r>
      <w:r w:rsidR="00BD2A2C" w:rsidRPr="009C03BC">
        <w:rPr>
          <w:rFonts w:ascii="Noto Sans" w:eastAsia="Calibri" w:hAnsi="Noto Sans" w:cs="Noto Sans"/>
          <w:b/>
          <w:bCs/>
          <w:lang w:val="en-US" w:eastAsia="en-GB"/>
        </w:rPr>
        <w:t xml:space="preserve"> ensure </w:t>
      </w:r>
      <w:r w:rsidR="001C6062" w:rsidRPr="009C03BC">
        <w:rPr>
          <w:rFonts w:ascii="Noto Sans" w:eastAsia="Calibri" w:hAnsi="Noto Sans" w:cs="Noto Sans"/>
          <w:b/>
          <w:bCs/>
          <w:lang w:val="en-US" w:eastAsia="en-GB"/>
        </w:rPr>
        <w:t>they are well-managed, of</w:t>
      </w:r>
      <w:r w:rsidR="00156136" w:rsidRPr="009C03BC">
        <w:rPr>
          <w:rFonts w:ascii="Noto Sans" w:eastAsia="Calibri" w:hAnsi="Noto Sans" w:cs="Noto Sans"/>
          <w:b/>
          <w:bCs/>
          <w:lang w:val="en-US" w:eastAsia="en-GB"/>
        </w:rPr>
        <w:t xml:space="preserve"> high quality, </w:t>
      </w:r>
      <w:r w:rsidR="001C6062" w:rsidRPr="009C03BC">
        <w:rPr>
          <w:rFonts w:ascii="Noto Sans" w:eastAsia="Calibri" w:hAnsi="Noto Sans" w:cs="Noto Sans"/>
          <w:b/>
          <w:bCs/>
          <w:lang w:val="en-US" w:eastAsia="en-GB"/>
        </w:rPr>
        <w:t xml:space="preserve">and offer </w:t>
      </w:r>
      <w:r w:rsidR="00156136" w:rsidRPr="009C03BC">
        <w:rPr>
          <w:rFonts w:ascii="Noto Sans" w:eastAsia="Calibri" w:hAnsi="Noto Sans" w:cs="Noto Sans"/>
          <w:b/>
          <w:bCs/>
          <w:lang w:val="en-US" w:eastAsia="en-GB"/>
        </w:rPr>
        <w:t>value for money</w:t>
      </w:r>
      <w:r w:rsidR="001C6062" w:rsidRPr="009C03BC">
        <w:rPr>
          <w:rFonts w:ascii="Noto Sans" w:eastAsia="Calibri" w:hAnsi="Noto Sans" w:cs="Noto Sans"/>
          <w:b/>
          <w:bCs/>
          <w:lang w:val="en-US" w:eastAsia="en-GB"/>
        </w:rPr>
        <w:t>.</w:t>
      </w:r>
    </w:p>
    <w:p w14:paraId="7DD7E29E" w14:textId="28A7CE9B" w:rsidR="001C6062" w:rsidRDefault="00817E10" w:rsidP="00817E10">
      <w:pPr>
        <w:spacing w:after="120" w:line="259" w:lineRule="auto"/>
        <w:rPr>
          <w:rFonts w:ascii="Noto Sans" w:eastAsia="Calibri" w:hAnsi="Noto Sans" w:cs="Noto Sans"/>
          <w:lang w:val="en-US" w:eastAsia="en-GB"/>
        </w:rPr>
      </w:pPr>
      <w:r>
        <w:rPr>
          <w:rFonts w:ascii="Noto Sans" w:eastAsia="Calibri" w:hAnsi="Noto Sans" w:cs="Noto Sans"/>
          <w:lang w:val="en-US" w:eastAsia="en-GB"/>
        </w:rPr>
        <w:t>The four main services we provide are:</w:t>
      </w:r>
    </w:p>
    <w:p w14:paraId="44D6AAB0" w14:textId="339855F4" w:rsidR="00480BF4" w:rsidRDefault="003E6630"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Housing and tenancy management</w:t>
      </w:r>
      <w:r w:rsidR="001036E6">
        <w:rPr>
          <w:rFonts w:ascii="Noto Sans" w:eastAsia="Calibri" w:hAnsi="Noto Sans" w:cs="Noto Sans"/>
          <w:lang w:val="en-US" w:eastAsia="en-GB"/>
        </w:rPr>
        <w:t xml:space="preserve">, where we seek to ensure </w:t>
      </w:r>
      <w:r w:rsidR="006A514F">
        <w:rPr>
          <w:rFonts w:ascii="Noto Sans" w:eastAsia="Calibri" w:hAnsi="Noto Sans" w:cs="Noto Sans"/>
          <w:lang w:val="en-US" w:eastAsia="en-GB"/>
        </w:rPr>
        <w:t>residents</w:t>
      </w:r>
      <w:r w:rsidR="003E76F9">
        <w:rPr>
          <w:rFonts w:ascii="Noto Sans" w:eastAsia="Calibri" w:hAnsi="Noto Sans" w:cs="Noto Sans"/>
          <w:lang w:val="en-US" w:eastAsia="en-GB"/>
        </w:rPr>
        <w:t xml:space="preserve"> are supported to sustain successful tenancies</w:t>
      </w:r>
      <w:r w:rsidR="009B70F5">
        <w:rPr>
          <w:rFonts w:ascii="Noto Sans" w:eastAsia="Calibri" w:hAnsi="Noto Sans" w:cs="Noto Sans"/>
          <w:lang w:val="en-US" w:eastAsia="en-GB"/>
        </w:rPr>
        <w:t>.</w:t>
      </w:r>
    </w:p>
    <w:p w14:paraId="32F46458" w14:textId="1C534E83" w:rsidR="009B70F5" w:rsidRDefault="00011BDC"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Homelessness</w:t>
      </w:r>
      <w:r w:rsidR="004D191B">
        <w:rPr>
          <w:rFonts w:ascii="Noto Sans" w:eastAsia="Calibri" w:hAnsi="Noto Sans" w:cs="Noto Sans"/>
          <w:lang w:val="en-US" w:eastAsia="en-GB"/>
        </w:rPr>
        <w:t xml:space="preserve">, allocations and lettings, where we seek to </w:t>
      </w:r>
      <w:proofErr w:type="spellStart"/>
      <w:r w:rsidR="00DB1B9A">
        <w:rPr>
          <w:rFonts w:ascii="Noto Sans" w:eastAsia="Calibri" w:hAnsi="Noto Sans" w:cs="Noto Sans"/>
          <w:lang w:val="en-US" w:eastAsia="en-GB"/>
        </w:rPr>
        <w:t>maximise</w:t>
      </w:r>
      <w:proofErr w:type="spellEnd"/>
      <w:r w:rsidR="00DB1B9A">
        <w:rPr>
          <w:rFonts w:ascii="Noto Sans" w:eastAsia="Calibri" w:hAnsi="Noto Sans" w:cs="Noto Sans"/>
          <w:lang w:val="en-US" w:eastAsia="en-GB"/>
        </w:rPr>
        <w:t xml:space="preserve"> the use of homes for those in need.</w:t>
      </w:r>
    </w:p>
    <w:p w14:paraId="5C7E7439" w14:textId="2247E730" w:rsidR="00163D66" w:rsidRDefault="00045DA2"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Repair, maintenance and planned </w:t>
      </w:r>
      <w:r w:rsidR="001649F6">
        <w:rPr>
          <w:rFonts w:ascii="Noto Sans" w:eastAsia="Calibri" w:hAnsi="Noto Sans" w:cs="Noto Sans"/>
          <w:lang w:val="en-US" w:eastAsia="en-GB"/>
        </w:rPr>
        <w:t xml:space="preserve">investment, where we </w:t>
      </w:r>
      <w:r w:rsidR="00551F3C">
        <w:rPr>
          <w:rFonts w:ascii="Noto Sans" w:eastAsia="Calibri" w:hAnsi="Noto Sans" w:cs="Noto Sans"/>
          <w:lang w:val="en-US" w:eastAsia="en-GB"/>
        </w:rPr>
        <w:t xml:space="preserve">work to ensure homes are safe, </w:t>
      </w:r>
      <w:r w:rsidR="00162AFD">
        <w:rPr>
          <w:rFonts w:ascii="Noto Sans" w:eastAsia="Calibri" w:hAnsi="Noto Sans" w:cs="Noto Sans"/>
          <w:lang w:val="en-US" w:eastAsia="en-GB"/>
        </w:rPr>
        <w:t xml:space="preserve">free from </w:t>
      </w:r>
      <w:r w:rsidR="00EC09BC">
        <w:rPr>
          <w:rFonts w:ascii="Noto Sans" w:eastAsia="Calibri" w:hAnsi="Noto Sans" w:cs="Noto Sans"/>
          <w:lang w:val="en-US" w:eastAsia="en-GB"/>
        </w:rPr>
        <w:t xml:space="preserve">hazards and </w:t>
      </w:r>
      <w:r w:rsidR="00162AFD">
        <w:rPr>
          <w:rFonts w:ascii="Noto Sans" w:eastAsia="Calibri" w:hAnsi="Noto Sans" w:cs="Noto Sans"/>
          <w:lang w:val="en-US" w:eastAsia="en-GB"/>
        </w:rPr>
        <w:t>di</w:t>
      </w:r>
      <w:r w:rsidR="00FF1256">
        <w:rPr>
          <w:rFonts w:ascii="Noto Sans" w:eastAsia="Calibri" w:hAnsi="Noto Sans" w:cs="Noto Sans"/>
          <w:lang w:val="en-US" w:eastAsia="en-GB"/>
        </w:rPr>
        <w:t>srepair</w:t>
      </w:r>
      <w:r w:rsidR="00EC09BC">
        <w:rPr>
          <w:rFonts w:ascii="Noto Sans" w:eastAsia="Calibri" w:hAnsi="Noto Sans" w:cs="Noto Sans"/>
          <w:lang w:val="en-US" w:eastAsia="en-GB"/>
        </w:rPr>
        <w:t xml:space="preserve">, </w:t>
      </w:r>
      <w:r w:rsidR="00381589">
        <w:rPr>
          <w:rFonts w:ascii="Noto Sans" w:eastAsia="Calibri" w:hAnsi="Noto Sans" w:cs="Noto Sans"/>
          <w:lang w:val="en-US" w:eastAsia="en-GB"/>
        </w:rPr>
        <w:t xml:space="preserve">with building components renewed and replaced </w:t>
      </w:r>
      <w:r w:rsidR="00D93F32">
        <w:rPr>
          <w:rFonts w:ascii="Noto Sans" w:eastAsia="Calibri" w:hAnsi="Noto Sans" w:cs="Noto Sans"/>
          <w:lang w:val="en-US" w:eastAsia="en-GB"/>
        </w:rPr>
        <w:t>at the end of their life.</w:t>
      </w:r>
    </w:p>
    <w:p w14:paraId="52B8BC7E" w14:textId="2130A0BB" w:rsidR="00DB1B9A" w:rsidRPr="00817E10" w:rsidRDefault="00163D66" w:rsidP="00817E10">
      <w:pPr>
        <w:pStyle w:val="ListParagraph"/>
        <w:numPr>
          <w:ilvl w:val="0"/>
          <w:numId w:val="27"/>
        </w:num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Regeneration and development, </w:t>
      </w:r>
      <w:r w:rsidR="00D93F32">
        <w:rPr>
          <w:rFonts w:ascii="Noto Sans" w:eastAsia="Calibri" w:hAnsi="Noto Sans" w:cs="Noto Sans"/>
          <w:lang w:val="en-US" w:eastAsia="en-GB"/>
        </w:rPr>
        <w:t xml:space="preserve">where we plan, procure and manage our </w:t>
      </w:r>
      <w:r w:rsidR="00A6375F">
        <w:rPr>
          <w:rFonts w:ascii="Noto Sans" w:eastAsia="Calibri" w:hAnsi="Noto Sans" w:cs="Noto Sans"/>
          <w:lang w:val="en-US" w:eastAsia="en-GB"/>
        </w:rPr>
        <w:t xml:space="preserve">ambitious new build </w:t>
      </w:r>
      <w:r w:rsidR="005D1BAE">
        <w:rPr>
          <w:rFonts w:ascii="Noto Sans" w:eastAsia="Calibri" w:hAnsi="Noto Sans" w:cs="Noto Sans"/>
          <w:lang w:val="en-US" w:eastAsia="en-GB"/>
        </w:rPr>
        <w:t xml:space="preserve">and regeneration </w:t>
      </w:r>
      <w:proofErr w:type="spellStart"/>
      <w:r w:rsidR="00A6375F">
        <w:rPr>
          <w:rFonts w:ascii="Noto Sans" w:eastAsia="Calibri" w:hAnsi="Noto Sans" w:cs="Noto Sans"/>
          <w:lang w:val="en-US" w:eastAsia="en-GB"/>
        </w:rPr>
        <w:t>programme</w:t>
      </w:r>
      <w:proofErr w:type="spellEnd"/>
      <w:r w:rsidR="009F4320">
        <w:rPr>
          <w:rFonts w:ascii="Noto Sans" w:eastAsia="Calibri" w:hAnsi="Noto Sans" w:cs="Noto Sans"/>
          <w:lang w:val="en-US" w:eastAsia="en-GB"/>
        </w:rPr>
        <w:t xml:space="preserve"> </w:t>
      </w:r>
      <w:r w:rsidR="00A6375F">
        <w:rPr>
          <w:rFonts w:ascii="Noto Sans" w:eastAsia="Calibri" w:hAnsi="Noto Sans" w:cs="Noto Sans"/>
          <w:lang w:val="en-US" w:eastAsia="en-GB"/>
        </w:rPr>
        <w:t>providing much-needed new, additional</w:t>
      </w:r>
      <w:r w:rsidR="007C7098">
        <w:rPr>
          <w:rFonts w:ascii="Noto Sans" w:eastAsia="Calibri" w:hAnsi="Noto Sans" w:cs="Noto Sans"/>
          <w:lang w:val="en-US" w:eastAsia="en-GB"/>
        </w:rPr>
        <w:t>, or replacement</w:t>
      </w:r>
      <w:r w:rsidR="00A6375F">
        <w:rPr>
          <w:rFonts w:ascii="Noto Sans" w:eastAsia="Calibri" w:hAnsi="Noto Sans" w:cs="Noto Sans"/>
          <w:lang w:val="en-US" w:eastAsia="en-GB"/>
        </w:rPr>
        <w:t xml:space="preserve"> homes.</w:t>
      </w:r>
    </w:p>
    <w:p w14:paraId="0A8C6098" w14:textId="264CF456" w:rsidR="002479FF" w:rsidRDefault="005E59E8" w:rsidP="004536D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We </w:t>
      </w:r>
      <w:proofErr w:type="spellStart"/>
      <w:r>
        <w:rPr>
          <w:rFonts w:ascii="Noto Sans" w:eastAsia="Calibri" w:hAnsi="Noto Sans" w:cs="Noto Sans"/>
          <w:lang w:val="en-US" w:eastAsia="en-GB"/>
        </w:rPr>
        <w:t>recognise</w:t>
      </w:r>
      <w:proofErr w:type="spellEnd"/>
      <w:r>
        <w:rPr>
          <w:rFonts w:ascii="Noto Sans" w:eastAsia="Calibri" w:hAnsi="Noto Sans" w:cs="Noto Sans"/>
          <w:lang w:val="en-US" w:eastAsia="en-GB"/>
        </w:rPr>
        <w:t xml:space="preserve"> the need </w:t>
      </w:r>
      <w:r w:rsidR="00F2561B">
        <w:rPr>
          <w:rFonts w:ascii="Noto Sans" w:eastAsia="Calibri" w:hAnsi="Noto Sans" w:cs="Noto Sans"/>
          <w:lang w:val="en-US" w:eastAsia="en-GB"/>
        </w:rPr>
        <w:t xml:space="preserve">to improve the quality, consistency and </w:t>
      </w:r>
      <w:r w:rsidR="00137ACE">
        <w:rPr>
          <w:rFonts w:ascii="Noto Sans" w:eastAsia="Calibri" w:hAnsi="Noto Sans" w:cs="Noto Sans"/>
          <w:lang w:val="en-US" w:eastAsia="en-GB"/>
        </w:rPr>
        <w:t>value for money of these services. The HRA Busin</w:t>
      </w:r>
      <w:r w:rsidR="00996285">
        <w:rPr>
          <w:rFonts w:ascii="Noto Sans" w:eastAsia="Calibri" w:hAnsi="Noto Sans" w:cs="Noto Sans"/>
          <w:lang w:val="en-US" w:eastAsia="en-GB"/>
        </w:rPr>
        <w:t>ess</w:t>
      </w:r>
      <w:r w:rsidR="00137ACE">
        <w:rPr>
          <w:rFonts w:ascii="Noto Sans" w:eastAsia="Calibri" w:hAnsi="Noto Sans" w:cs="Noto Sans"/>
          <w:lang w:val="en-US" w:eastAsia="en-GB"/>
        </w:rPr>
        <w:t xml:space="preserve"> Plan therefore</w:t>
      </w:r>
      <w:r w:rsidR="001F122E">
        <w:rPr>
          <w:rFonts w:ascii="Noto Sans" w:eastAsia="Calibri" w:hAnsi="Noto Sans" w:cs="Noto Sans"/>
          <w:lang w:val="en-US" w:eastAsia="en-GB"/>
        </w:rPr>
        <w:t xml:space="preserve"> </w:t>
      </w:r>
      <w:r w:rsidR="00604F60">
        <w:rPr>
          <w:rFonts w:ascii="Noto Sans" w:eastAsia="Calibri" w:hAnsi="Noto Sans" w:cs="Noto Sans"/>
          <w:lang w:val="en-US" w:eastAsia="en-GB"/>
        </w:rPr>
        <w:t xml:space="preserve">provides for </w:t>
      </w:r>
      <w:r w:rsidR="00B43482">
        <w:rPr>
          <w:rFonts w:ascii="Noto Sans" w:eastAsia="Calibri" w:hAnsi="Noto Sans" w:cs="Noto Sans"/>
          <w:lang w:val="en-US" w:eastAsia="en-GB"/>
        </w:rPr>
        <w:t xml:space="preserve">sufficient resources to be </w:t>
      </w:r>
      <w:r w:rsidR="009B4DE4">
        <w:rPr>
          <w:rFonts w:ascii="Noto Sans" w:eastAsia="Calibri" w:hAnsi="Noto Sans" w:cs="Noto Sans"/>
          <w:lang w:val="en-US" w:eastAsia="en-GB"/>
        </w:rPr>
        <w:t>allocated</w:t>
      </w:r>
      <w:r w:rsidR="00B43482">
        <w:rPr>
          <w:rFonts w:ascii="Noto Sans" w:eastAsia="Calibri" w:hAnsi="Noto Sans" w:cs="Noto Sans"/>
          <w:lang w:val="en-US" w:eastAsia="en-GB"/>
        </w:rPr>
        <w:t xml:space="preserve"> where needed, while securing efficiencies in how we manage some aspects, including </w:t>
      </w:r>
      <w:r w:rsidR="00027ED6">
        <w:rPr>
          <w:rFonts w:ascii="Noto Sans" w:eastAsia="Calibri" w:hAnsi="Noto Sans" w:cs="Noto Sans"/>
          <w:lang w:val="en-US" w:eastAsia="en-GB"/>
        </w:rPr>
        <w:t>the repair service</w:t>
      </w:r>
      <w:r w:rsidR="00167A02">
        <w:rPr>
          <w:rFonts w:ascii="Noto Sans" w:eastAsia="Calibri" w:hAnsi="Noto Sans" w:cs="Noto Sans"/>
          <w:lang w:val="en-US" w:eastAsia="en-GB"/>
        </w:rPr>
        <w:t>, void management</w:t>
      </w:r>
      <w:r w:rsidR="00B810F2">
        <w:rPr>
          <w:rFonts w:ascii="Noto Sans" w:eastAsia="Calibri" w:hAnsi="Noto Sans" w:cs="Noto Sans"/>
          <w:lang w:val="en-US" w:eastAsia="en-GB"/>
        </w:rPr>
        <w:t xml:space="preserve">, and </w:t>
      </w:r>
      <w:r w:rsidR="008A16F4">
        <w:rPr>
          <w:rFonts w:ascii="Noto Sans" w:eastAsia="Calibri" w:hAnsi="Noto Sans" w:cs="Noto Sans"/>
          <w:lang w:val="en-US" w:eastAsia="en-GB"/>
        </w:rPr>
        <w:t>through stronger procurement and contract management practices.</w:t>
      </w:r>
      <w:r w:rsidR="004536D5">
        <w:rPr>
          <w:rFonts w:ascii="Noto Sans" w:eastAsia="Calibri" w:hAnsi="Noto Sans" w:cs="Noto Sans"/>
          <w:lang w:val="en-US" w:eastAsia="en-GB"/>
        </w:rPr>
        <w:t xml:space="preserve"> </w:t>
      </w:r>
      <w:r w:rsidR="009B4DE4">
        <w:rPr>
          <w:rFonts w:ascii="Noto Sans" w:eastAsia="Calibri" w:hAnsi="Noto Sans" w:cs="Noto Sans"/>
          <w:lang w:val="en-US" w:eastAsia="en-GB"/>
        </w:rPr>
        <w:t>We n</w:t>
      </w:r>
      <w:r w:rsidR="00514E9B">
        <w:rPr>
          <w:rFonts w:ascii="Noto Sans" w:eastAsia="Calibri" w:hAnsi="Noto Sans" w:cs="Noto Sans"/>
          <w:lang w:val="en-US" w:eastAsia="en-GB"/>
        </w:rPr>
        <w:t>eed to</w:t>
      </w:r>
      <w:r w:rsidR="00445CDB">
        <w:rPr>
          <w:rFonts w:ascii="Noto Sans" w:eastAsia="Calibri" w:hAnsi="Noto Sans" w:cs="Noto Sans"/>
          <w:lang w:val="en-US" w:eastAsia="en-GB"/>
        </w:rPr>
        <w:t xml:space="preserve"> effectively manage an HRA services</w:t>
      </w:r>
      <w:r w:rsidR="004536D5" w:rsidRPr="004536D5">
        <w:rPr>
          <w:rFonts w:ascii="Noto Sans" w:eastAsia="Calibri" w:hAnsi="Noto Sans" w:cs="Noto Sans"/>
          <w:lang w:val="en-US" w:eastAsia="en-GB"/>
        </w:rPr>
        <w:t xml:space="preserve"> improvement journey</w:t>
      </w:r>
      <w:r w:rsidR="00445CDB">
        <w:rPr>
          <w:rFonts w:ascii="Noto Sans" w:eastAsia="Calibri" w:hAnsi="Noto Sans" w:cs="Noto Sans"/>
          <w:lang w:val="en-US" w:eastAsia="en-GB"/>
        </w:rPr>
        <w:t xml:space="preserve"> through a</w:t>
      </w:r>
      <w:r w:rsidR="004536D5" w:rsidRPr="004536D5">
        <w:rPr>
          <w:rFonts w:ascii="Noto Sans" w:eastAsia="Calibri" w:hAnsi="Noto Sans" w:cs="Noto Sans"/>
          <w:lang w:val="en-US" w:eastAsia="en-GB"/>
        </w:rPr>
        <w:t xml:space="preserve"> robust performance framework</w:t>
      </w:r>
      <w:r w:rsidR="001F317B">
        <w:rPr>
          <w:rFonts w:ascii="Noto Sans" w:eastAsia="Calibri" w:hAnsi="Noto Sans" w:cs="Noto Sans"/>
          <w:lang w:val="en-US" w:eastAsia="en-GB"/>
        </w:rPr>
        <w:t xml:space="preserve"> and a</w:t>
      </w:r>
      <w:r w:rsidR="004536D5" w:rsidRPr="004536D5">
        <w:rPr>
          <w:rFonts w:ascii="Noto Sans" w:eastAsia="Calibri" w:hAnsi="Noto Sans" w:cs="Noto Sans"/>
          <w:lang w:val="en-US" w:eastAsia="en-GB"/>
        </w:rPr>
        <w:t xml:space="preserve"> focus on </w:t>
      </w:r>
      <w:r w:rsidR="001F317B">
        <w:rPr>
          <w:rFonts w:ascii="Noto Sans" w:eastAsia="Calibri" w:hAnsi="Noto Sans" w:cs="Noto Sans"/>
          <w:lang w:val="en-US" w:eastAsia="en-GB"/>
        </w:rPr>
        <w:t xml:space="preserve">service </w:t>
      </w:r>
      <w:r w:rsidR="004536D5" w:rsidRPr="004536D5">
        <w:rPr>
          <w:rFonts w:ascii="Noto Sans" w:eastAsia="Calibri" w:hAnsi="Noto Sans" w:cs="Noto Sans"/>
          <w:lang w:val="en-US" w:eastAsia="en-GB"/>
        </w:rPr>
        <w:t xml:space="preserve">excellence, </w:t>
      </w:r>
      <w:r w:rsidR="001F317B">
        <w:rPr>
          <w:rFonts w:ascii="Noto Sans" w:eastAsia="Calibri" w:hAnsi="Noto Sans" w:cs="Noto Sans"/>
          <w:lang w:val="en-US" w:eastAsia="en-GB"/>
        </w:rPr>
        <w:t>demon</w:t>
      </w:r>
      <w:r w:rsidR="004272A2">
        <w:rPr>
          <w:rFonts w:ascii="Noto Sans" w:eastAsia="Calibri" w:hAnsi="Noto Sans" w:cs="Noto Sans"/>
          <w:lang w:val="en-US" w:eastAsia="en-GB"/>
        </w:rPr>
        <w:t>s</w:t>
      </w:r>
      <w:r w:rsidR="001F317B">
        <w:rPr>
          <w:rFonts w:ascii="Noto Sans" w:eastAsia="Calibri" w:hAnsi="Noto Sans" w:cs="Noto Sans"/>
          <w:lang w:val="en-US" w:eastAsia="en-GB"/>
        </w:rPr>
        <w:t>trati</w:t>
      </w:r>
      <w:r w:rsidR="004272A2">
        <w:rPr>
          <w:rFonts w:ascii="Noto Sans" w:eastAsia="Calibri" w:hAnsi="Noto Sans" w:cs="Noto Sans"/>
          <w:lang w:val="en-US" w:eastAsia="en-GB"/>
        </w:rPr>
        <w:t>ng</w:t>
      </w:r>
      <w:r w:rsidR="004536D5" w:rsidRPr="004536D5">
        <w:rPr>
          <w:rFonts w:ascii="Noto Sans" w:eastAsia="Calibri" w:hAnsi="Noto Sans" w:cs="Noto Sans"/>
          <w:lang w:val="en-US" w:eastAsia="en-GB"/>
        </w:rPr>
        <w:t xml:space="preserve"> compliance with the Consumer</w:t>
      </w:r>
      <w:r w:rsidR="004536D5">
        <w:rPr>
          <w:rFonts w:ascii="Noto Sans" w:eastAsia="Calibri" w:hAnsi="Noto Sans" w:cs="Noto Sans"/>
          <w:lang w:val="en-US" w:eastAsia="en-GB"/>
        </w:rPr>
        <w:t xml:space="preserve"> </w:t>
      </w:r>
      <w:r w:rsidR="004536D5" w:rsidRPr="004536D5">
        <w:rPr>
          <w:rFonts w:ascii="Noto Sans" w:eastAsia="Calibri" w:hAnsi="Noto Sans" w:cs="Noto Sans"/>
          <w:lang w:val="en-US" w:eastAsia="en-GB"/>
        </w:rPr>
        <w:t>Standards set by the Regulator of Social Housing.</w:t>
      </w:r>
      <w:r w:rsidR="00986750">
        <w:rPr>
          <w:rFonts w:ascii="Noto Sans" w:eastAsia="Calibri" w:hAnsi="Noto Sans" w:cs="Noto Sans"/>
          <w:lang w:val="en-US" w:eastAsia="en-GB"/>
        </w:rPr>
        <w:t xml:space="preserve"> In this way we can contain our </w:t>
      </w:r>
      <w:r w:rsidR="007D5E4F">
        <w:rPr>
          <w:rFonts w:ascii="Noto Sans" w:eastAsia="Calibri" w:hAnsi="Noto Sans" w:cs="Noto Sans"/>
          <w:lang w:val="en-US" w:eastAsia="en-GB"/>
        </w:rPr>
        <w:t xml:space="preserve">day-to-day </w:t>
      </w:r>
      <w:r w:rsidR="00986750">
        <w:rPr>
          <w:rFonts w:ascii="Noto Sans" w:eastAsia="Calibri" w:hAnsi="Noto Sans" w:cs="Noto Sans"/>
          <w:lang w:val="en-US" w:eastAsia="en-GB"/>
        </w:rPr>
        <w:t>operating costs</w:t>
      </w:r>
      <w:r w:rsidR="007D5E4F">
        <w:rPr>
          <w:rFonts w:ascii="Noto Sans" w:eastAsia="Calibri" w:hAnsi="Noto Sans" w:cs="Noto Sans"/>
          <w:lang w:val="en-US" w:eastAsia="en-GB"/>
        </w:rPr>
        <w:t>, releasing</w:t>
      </w:r>
      <w:r w:rsidR="004C3117">
        <w:rPr>
          <w:rFonts w:ascii="Noto Sans" w:eastAsia="Calibri" w:hAnsi="Noto Sans" w:cs="Noto Sans"/>
          <w:lang w:val="en-US" w:eastAsia="en-GB"/>
        </w:rPr>
        <w:t xml:space="preserve"> resources for capital investment in our existing stock and </w:t>
      </w:r>
      <w:r w:rsidR="001A344D">
        <w:rPr>
          <w:rFonts w:ascii="Noto Sans" w:eastAsia="Calibri" w:hAnsi="Noto Sans" w:cs="Noto Sans"/>
          <w:lang w:val="en-US" w:eastAsia="en-GB"/>
        </w:rPr>
        <w:t xml:space="preserve">to fund our new development </w:t>
      </w:r>
      <w:proofErr w:type="spellStart"/>
      <w:r w:rsidR="001A344D">
        <w:rPr>
          <w:rFonts w:ascii="Noto Sans" w:eastAsia="Calibri" w:hAnsi="Noto Sans" w:cs="Noto Sans"/>
          <w:lang w:val="en-US" w:eastAsia="en-GB"/>
        </w:rPr>
        <w:t>programme</w:t>
      </w:r>
      <w:proofErr w:type="spellEnd"/>
      <w:r w:rsidR="001A344D">
        <w:rPr>
          <w:rFonts w:ascii="Noto Sans" w:eastAsia="Calibri" w:hAnsi="Noto Sans" w:cs="Noto Sans"/>
          <w:lang w:val="en-US" w:eastAsia="en-GB"/>
        </w:rPr>
        <w:t>.</w:t>
      </w:r>
    </w:p>
    <w:p w14:paraId="139306E4" w14:textId="19063542" w:rsidR="00DD06B4" w:rsidRDefault="00B3473F" w:rsidP="004536D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Our revenue operating costs </w:t>
      </w:r>
      <w:r w:rsidR="0098213D">
        <w:rPr>
          <w:rFonts w:ascii="Noto Sans" w:eastAsia="Calibri" w:hAnsi="Noto Sans" w:cs="Noto Sans"/>
          <w:lang w:val="en-US" w:eastAsia="en-GB"/>
        </w:rPr>
        <w:t xml:space="preserve">are forecast at </w:t>
      </w:r>
      <w:r w:rsidR="00801083">
        <w:rPr>
          <w:rFonts w:ascii="Noto Sans" w:eastAsia="Calibri" w:hAnsi="Noto Sans" w:cs="Noto Sans"/>
          <w:lang w:val="en-US" w:eastAsia="en-GB"/>
        </w:rPr>
        <w:t>nearly £150</w:t>
      </w:r>
      <w:r w:rsidR="00CF4ABB">
        <w:rPr>
          <w:rFonts w:ascii="Noto Sans" w:eastAsia="Calibri" w:hAnsi="Noto Sans" w:cs="Noto Sans"/>
          <w:lang w:val="en-US" w:eastAsia="en-GB"/>
        </w:rPr>
        <w:t>m</w:t>
      </w:r>
      <w:r w:rsidR="00801083">
        <w:rPr>
          <w:rFonts w:ascii="Noto Sans" w:eastAsia="Calibri" w:hAnsi="Noto Sans" w:cs="Noto Sans"/>
          <w:lang w:val="en-US" w:eastAsia="en-GB"/>
        </w:rPr>
        <w:t xml:space="preserve"> over the five years to 2028, </w:t>
      </w:r>
      <w:r w:rsidR="0098213D">
        <w:rPr>
          <w:rFonts w:ascii="Noto Sans" w:eastAsia="Calibri" w:hAnsi="Noto Sans" w:cs="Noto Sans"/>
          <w:lang w:val="en-US" w:eastAsia="en-GB"/>
        </w:rPr>
        <w:t>around £30</w:t>
      </w:r>
      <w:r w:rsidR="00C4386C">
        <w:rPr>
          <w:rFonts w:ascii="Noto Sans" w:eastAsia="Calibri" w:hAnsi="Noto Sans" w:cs="Noto Sans"/>
          <w:lang w:val="en-US" w:eastAsia="en-GB"/>
        </w:rPr>
        <w:t>m</w:t>
      </w:r>
      <w:r w:rsidR="0098213D">
        <w:rPr>
          <w:rFonts w:ascii="Noto Sans" w:eastAsia="Calibri" w:hAnsi="Noto Sans" w:cs="Noto Sans"/>
          <w:lang w:val="en-US" w:eastAsia="en-GB"/>
        </w:rPr>
        <w:t xml:space="preserve"> a year</w:t>
      </w:r>
      <w:r w:rsidR="003D6466">
        <w:rPr>
          <w:rFonts w:ascii="Noto Sans" w:eastAsia="Calibri" w:hAnsi="Noto Sans" w:cs="Noto Sans"/>
          <w:lang w:val="en-US" w:eastAsia="en-GB"/>
        </w:rPr>
        <w:t>.</w:t>
      </w:r>
      <w:r w:rsidR="00C4386C">
        <w:rPr>
          <w:rFonts w:ascii="Noto Sans" w:eastAsia="Calibri" w:hAnsi="Noto Sans" w:cs="Noto Sans"/>
          <w:lang w:val="en-US" w:eastAsia="en-GB"/>
        </w:rPr>
        <w:t xml:space="preserve"> This is </w:t>
      </w:r>
      <w:r w:rsidR="005B3F77">
        <w:rPr>
          <w:rFonts w:ascii="Noto Sans" w:eastAsia="Calibri" w:hAnsi="Noto Sans" w:cs="Noto Sans"/>
          <w:lang w:val="en-US" w:eastAsia="en-GB"/>
        </w:rPr>
        <w:t>roughly</w:t>
      </w:r>
      <w:r w:rsidR="00C4386C">
        <w:rPr>
          <w:rFonts w:ascii="Noto Sans" w:eastAsia="Calibri" w:hAnsi="Noto Sans" w:cs="Noto Sans"/>
          <w:lang w:val="en-US" w:eastAsia="en-GB"/>
        </w:rPr>
        <w:t xml:space="preserve"> split </w:t>
      </w:r>
      <w:r w:rsidR="005B3F77">
        <w:rPr>
          <w:rFonts w:ascii="Noto Sans" w:eastAsia="Calibri" w:hAnsi="Noto Sans" w:cs="Noto Sans"/>
          <w:lang w:val="en-US" w:eastAsia="en-GB"/>
        </w:rPr>
        <w:t xml:space="preserve">equally </w:t>
      </w:r>
      <w:r w:rsidR="00C4386C">
        <w:rPr>
          <w:rFonts w:ascii="Noto Sans" w:eastAsia="Calibri" w:hAnsi="Noto Sans" w:cs="Noto Sans"/>
          <w:lang w:val="en-US" w:eastAsia="en-GB"/>
        </w:rPr>
        <w:t>between general management costs</w:t>
      </w:r>
      <w:r w:rsidR="005B3F77">
        <w:rPr>
          <w:rFonts w:ascii="Noto Sans" w:eastAsia="Calibri" w:hAnsi="Noto Sans" w:cs="Noto Sans"/>
          <w:lang w:val="en-US" w:eastAsia="en-GB"/>
        </w:rPr>
        <w:t xml:space="preserve"> and the cost of carrying out responsive and cyclical repairs.</w:t>
      </w:r>
    </w:p>
    <w:p w14:paraId="36703FDA" w14:textId="77777777" w:rsidR="00DD06B4" w:rsidRDefault="00DD06B4" w:rsidP="004536D5">
      <w:pPr>
        <w:spacing w:after="120" w:line="259" w:lineRule="auto"/>
        <w:rPr>
          <w:rFonts w:ascii="Noto Sans" w:eastAsia="Calibri" w:hAnsi="Noto Sans" w:cs="Noto Sans"/>
          <w:lang w:val="en-US" w:eastAsia="en-GB"/>
        </w:rPr>
      </w:pPr>
    </w:p>
    <w:p w14:paraId="3572092F" w14:textId="77777777" w:rsidR="008A16F4" w:rsidRPr="002479FF" w:rsidRDefault="008A16F4" w:rsidP="00817E10">
      <w:pPr>
        <w:spacing w:after="120" w:line="259" w:lineRule="auto"/>
        <w:rPr>
          <w:rFonts w:ascii="Noto Sans" w:eastAsia="Calibri" w:hAnsi="Noto Sans" w:cs="Noto Sans"/>
          <w:lang w:val="en-US" w:eastAsia="en-GB"/>
        </w:rPr>
      </w:pPr>
    </w:p>
    <w:tbl>
      <w:tblPr>
        <w:tblStyle w:val="GridTable1Light-Accent3"/>
        <w:tblW w:w="8442" w:type="dxa"/>
        <w:tblLook w:val="04A0" w:firstRow="1" w:lastRow="0" w:firstColumn="1" w:lastColumn="0" w:noHBand="0" w:noVBand="1"/>
      </w:tblPr>
      <w:tblGrid>
        <w:gridCol w:w="2658"/>
        <w:gridCol w:w="945"/>
        <w:gridCol w:w="945"/>
        <w:gridCol w:w="946"/>
        <w:gridCol w:w="946"/>
        <w:gridCol w:w="946"/>
        <w:gridCol w:w="1056"/>
      </w:tblGrid>
      <w:tr w:rsidR="00E608AE" w:rsidRPr="00B52BB8" w14:paraId="26DD0AE8" w14:textId="77777777" w:rsidTr="00B52BB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8442" w:type="dxa"/>
            <w:gridSpan w:val="7"/>
            <w:shd w:val="clear" w:color="auto" w:fill="0070C0"/>
          </w:tcPr>
          <w:p w14:paraId="4C16EF09" w14:textId="723EA236" w:rsidR="00E608AE" w:rsidRPr="00B52BB8" w:rsidRDefault="00E608AE" w:rsidP="00E608AE">
            <w:pPr>
              <w:jc w:val="center"/>
              <w:rPr>
                <w:rFonts w:ascii="Aptos Narrow" w:eastAsia="Times New Roman" w:hAnsi="Aptos Narrow" w:cs="Times New Roman"/>
                <w:color w:val="FFFFFF" w:themeColor="background1"/>
                <w:lang w:eastAsia="en-GB"/>
              </w:rPr>
            </w:pPr>
            <w:r w:rsidRPr="00B52BB8">
              <w:rPr>
                <w:rFonts w:ascii="Aptos Narrow" w:eastAsia="Times New Roman" w:hAnsi="Aptos Narrow" w:cs="Times New Roman"/>
                <w:color w:val="FFFFFF" w:themeColor="background1"/>
                <w:lang w:eastAsia="en-GB"/>
              </w:rPr>
              <w:t xml:space="preserve">Operating costs over first </w:t>
            </w:r>
            <w:r w:rsidR="001C7088" w:rsidRPr="00B52BB8">
              <w:rPr>
                <w:rFonts w:ascii="Aptos Narrow" w:eastAsia="Times New Roman" w:hAnsi="Aptos Narrow" w:cs="Times New Roman"/>
                <w:color w:val="FFFFFF" w:themeColor="background1"/>
                <w:lang w:eastAsia="en-GB"/>
              </w:rPr>
              <w:t>five years (at outturn)</w:t>
            </w:r>
          </w:p>
        </w:tc>
      </w:tr>
      <w:tr w:rsidR="00426C22" w:rsidRPr="00E608AE" w14:paraId="27A5E369"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vMerge w:val="restart"/>
            <w:hideMark/>
          </w:tcPr>
          <w:p w14:paraId="3FC430BA" w14:textId="77777777" w:rsidR="00426C22" w:rsidRPr="00E608AE" w:rsidRDefault="00426C22" w:rsidP="00E608AE">
            <w:pPr>
              <w:jc w:val="center"/>
              <w:rPr>
                <w:rFonts w:ascii="Aptos Narrow" w:eastAsia="Times New Roman" w:hAnsi="Aptos Narrow" w:cs="Times New Roman"/>
                <w:b w:val="0"/>
                <w:bCs w:val="0"/>
                <w:color w:val="000000"/>
                <w:sz w:val="22"/>
                <w:szCs w:val="22"/>
                <w:lang w:eastAsia="en-GB"/>
              </w:rPr>
            </w:pPr>
            <w:r w:rsidRPr="00E608AE">
              <w:rPr>
                <w:rFonts w:ascii="Aptos Narrow" w:eastAsia="Times New Roman" w:hAnsi="Aptos Narrow" w:cs="Times New Roman"/>
                <w:color w:val="000000"/>
                <w:sz w:val="22"/>
                <w:szCs w:val="22"/>
                <w:lang w:eastAsia="en-GB"/>
              </w:rPr>
              <w:t>Revenue</w:t>
            </w:r>
          </w:p>
          <w:p w14:paraId="793D5574" w14:textId="648E18A0" w:rsidR="00426C22" w:rsidRPr="00E608AE" w:rsidRDefault="00426C22" w:rsidP="00E608AE">
            <w:pPr>
              <w:jc w:val="cente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Operating Costs</w:t>
            </w:r>
          </w:p>
        </w:tc>
        <w:tc>
          <w:tcPr>
            <w:tcW w:w="945" w:type="dxa"/>
            <w:hideMark/>
          </w:tcPr>
          <w:p w14:paraId="41044704"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2024.25</w:t>
            </w:r>
          </w:p>
        </w:tc>
        <w:tc>
          <w:tcPr>
            <w:tcW w:w="945" w:type="dxa"/>
            <w:hideMark/>
          </w:tcPr>
          <w:p w14:paraId="5C25324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2025.26</w:t>
            </w:r>
          </w:p>
        </w:tc>
        <w:tc>
          <w:tcPr>
            <w:tcW w:w="946" w:type="dxa"/>
            <w:hideMark/>
          </w:tcPr>
          <w:p w14:paraId="1A07A99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2026.27</w:t>
            </w:r>
          </w:p>
        </w:tc>
        <w:tc>
          <w:tcPr>
            <w:tcW w:w="946" w:type="dxa"/>
            <w:hideMark/>
          </w:tcPr>
          <w:p w14:paraId="3302A641"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2027.28</w:t>
            </w:r>
          </w:p>
        </w:tc>
        <w:tc>
          <w:tcPr>
            <w:tcW w:w="946" w:type="dxa"/>
            <w:hideMark/>
          </w:tcPr>
          <w:p w14:paraId="07B0EAA0" w14:textId="77AE3B4F" w:rsidR="00426C22" w:rsidRPr="00B87900" w:rsidRDefault="00C90ED6"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2028</w:t>
            </w:r>
            <w:r w:rsidR="00426C22" w:rsidRPr="00B87900">
              <w:rPr>
                <w:rFonts w:ascii="Aptos Narrow" w:eastAsia="Times New Roman" w:hAnsi="Aptos Narrow" w:cs="Times New Roman"/>
                <w:b/>
                <w:bCs/>
                <w:color w:val="000000"/>
                <w:sz w:val="22"/>
                <w:szCs w:val="22"/>
                <w:lang w:eastAsia="en-GB"/>
              </w:rPr>
              <w:t>.</w:t>
            </w:r>
            <w:r w:rsidRPr="00B87900">
              <w:rPr>
                <w:rFonts w:ascii="Aptos Narrow" w:eastAsia="Times New Roman" w:hAnsi="Aptos Narrow" w:cs="Times New Roman"/>
                <w:b/>
                <w:bCs/>
                <w:color w:val="000000"/>
                <w:sz w:val="22"/>
                <w:szCs w:val="22"/>
                <w:lang w:eastAsia="en-GB"/>
              </w:rPr>
              <w:t>29</w:t>
            </w:r>
          </w:p>
        </w:tc>
        <w:tc>
          <w:tcPr>
            <w:tcW w:w="1056" w:type="dxa"/>
            <w:hideMark/>
          </w:tcPr>
          <w:p w14:paraId="2925BBE4"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Total</w:t>
            </w:r>
          </w:p>
        </w:tc>
      </w:tr>
      <w:tr w:rsidR="00426C22" w:rsidRPr="00E608AE" w14:paraId="15FBEABB"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vMerge/>
            <w:hideMark/>
          </w:tcPr>
          <w:p w14:paraId="2211F4DC" w14:textId="2B4409E7" w:rsidR="00426C22" w:rsidRPr="00E608AE" w:rsidRDefault="00426C22" w:rsidP="00E608AE">
            <w:pPr>
              <w:jc w:val="center"/>
              <w:rPr>
                <w:rFonts w:ascii="Aptos Narrow" w:eastAsia="Times New Roman" w:hAnsi="Aptos Narrow" w:cs="Times New Roman"/>
                <w:color w:val="000000"/>
                <w:sz w:val="22"/>
                <w:szCs w:val="22"/>
                <w:lang w:eastAsia="en-GB"/>
              </w:rPr>
            </w:pPr>
          </w:p>
        </w:tc>
        <w:tc>
          <w:tcPr>
            <w:tcW w:w="945" w:type="dxa"/>
            <w:hideMark/>
          </w:tcPr>
          <w:p w14:paraId="25EB5ADD"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5" w:type="dxa"/>
            <w:hideMark/>
          </w:tcPr>
          <w:p w14:paraId="510999F0"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78637B3A"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1B7B679E" w14:textId="77777777" w:rsidR="00426C22" w:rsidRPr="00E608AE"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£000</w:t>
            </w:r>
          </w:p>
        </w:tc>
        <w:tc>
          <w:tcPr>
            <w:tcW w:w="946" w:type="dxa"/>
            <w:hideMark/>
          </w:tcPr>
          <w:p w14:paraId="6842E280"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£000</w:t>
            </w:r>
          </w:p>
        </w:tc>
        <w:tc>
          <w:tcPr>
            <w:tcW w:w="1056" w:type="dxa"/>
            <w:hideMark/>
          </w:tcPr>
          <w:p w14:paraId="68F83AFD" w14:textId="77777777" w:rsidR="00426C22" w:rsidRPr="00B87900" w:rsidRDefault="00426C22" w:rsidP="00E608AE">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£000</w:t>
            </w:r>
          </w:p>
        </w:tc>
      </w:tr>
      <w:tr w:rsidR="00E608AE" w:rsidRPr="00E608AE" w14:paraId="3B87CC79"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C68D435"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General Management</w:t>
            </w:r>
          </w:p>
        </w:tc>
        <w:tc>
          <w:tcPr>
            <w:tcW w:w="945" w:type="dxa"/>
            <w:noWrap/>
            <w:hideMark/>
          </w:tcPr>
          <w:p w14:paraId="5CA1F20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£13,975</w:t>
            </w:r>
          </w:p>
        </w:tc>
        <w:tc>
          <w:tcPr>
            <w:tcW w:w="945" w:type="dxa"/>
            <w:noWrap/>
            <w:hideMark/>
          </w:tcPr>
          <w:p w14:paraId="4BCE213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£13,975</w:t>
            </w:r>
          </w:p>
        </w:tc>
        <w:tc>
          <w:tcPr>
            <w:tcW w:w="946" w:type="dxa"/>
            <w:noWrap/>
            <w:hideMark/>
          </w:tcPr>
          <w:p w14:paraId="3DDC7FA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£14,325</w:t>
            </w:r>
          </w:p>
        </w:tc>
        <w:tc>
          <w:tcPr>
            <w:tcW w:w="946" w:type="dxa"/>
            <w:noWrap/>
            <w:hideMark/>
          </w:tcPr>
          <w:p w14:paraId="4F196F73"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£14,611</w:t>
            </w:r>
          </w:p>
        </w:tc>
        <w:tc>
          <w:tcPr>
            <w:tcW w:w="946" w:type="dxa"/>
            <w:noWrap/>
            <w:hideMark/>
          </w:tcPr>
          <w:p w14:paraId="1DD56373" w14:textId="40DEA60B"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15</w:t>
            </w: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237</w:t>
            </w:r>
          </w:p>
        </w:tc>
        <w:tc>
          <w:tcPr>
            <w:tcW w:w="1056" w:type="dxa"/>
            <w:noWrap/>
            <w:hideMark/>
          </w:tcPr>
          <w:p w14:paraId="1E54EFFF" w14:textId="3E44EC73"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72</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124</w:t>
            </w:r>
          </w:p>
        </w:tc>
      </w:tr>
      <w:tr w:rsidR="00E608AE" w:rsidRPr="00E608AE" w14:paraId="2A723038"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3BC18B1"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Other Management</w:t>
            </w:r>
          </w:p>
        </w:tc>
        <w:tc>
          <w:tcPr>
            <w:tcW w:w="945" w:type="dxa"/>
            <w:noWrap/>
            <w:hideMark/>
          </w:tcPr>
          <w:p w14:paraId="420C3D3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£826</w:t>
            </w:r>
          </w:p>
        </w:tc>
        <w:tc>
          <w:tcPr>
            <w:tcW w:w="945" w:type="dxa"/>
            <w:noWrap/>
            <w:hideMark/>
          </w:tcPr>
          <w:p w14:paraId="6A95CEB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£827</w:t>
            </w:r>
          </w:p>
        </w:tc>
        <w:tc>
          <w:tcPr>
            <w:tcW w:w="946" w:type="dxa"/>
            <w:noWrap/>
            <w:hideMark/>
          </w:tcPr>
          <w:p w14:paraId="1028D505"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£855</w:t>
            </w:r>
          </w:p>
        </w:tc>
        <w:tc>
          <w:tcPr>
            <w:tcW w:w="946" w:type="dxa"/>
            <w:noWrap/>
            <w:hideMark/>
          </w:tcPr>
          <w:p w14:paraId="0980E8AD"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£859</w:t>
            </w:r>
          </w:p>
        </w:tc>
        <w:tc>
          <w:tcPr>
            <w:tcW w:w="946" w:type="dxa"/>
            <w:noWrap/>
            <w:hideMark/>
          </w:tcPr>
          <w:p w14:paraId="316AEFBE" w14:textId="752FDD74"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876</w:t>
            </w:r>
          </w:p>
        </w:tc>
        <w:tc>
          <w:tcPr>
            <w:tcW w:w="1056" w:type="dxa"/>
            <w:noWrap/>
            <w:hideMark/>
          </w:tcPr>
          <w:p w14:paraId="6E7C1D05" w14:textId="484F97A3"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£4,</w:t>
            </w:r>
            <w:r w:rsidR="00C90ED6" w:rsidRPr="00B87900">
              <w:rPr>
                <w:rFonts w:ascii="Aptos Narrow" w:eastAsia="Times New Roman" w:hAnsi="Aptos Narrow" w:cs="Times New Roman"/>
                <w:b/>
                <w:bCs/>
                <w:color w:val="000000"/>
                <w:sz w:val="22"/>
                <w:szCs w:val="22"/>
                <w:lang w:eastAsia="en-GB"/>
              </w:rPr>
              <w:t>244</w:t>
            </w:r>
          </w:p>
        </w:tc>
      </w:tr>
      <w:tr w:rsidR="00E608AE" w:rsidRPr="00E608AE" w14:paraId="1BF34F61"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79B0A14B"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Responsive &amp; Cyclical Repairs</w:t>
            </w:r>
          </w:p>
        </w:tc>
        <w:tc>
          <w:tcPr>
            <w:tcW w:w="945" w:type="dxa"/>
            <w:noWrap/>
            <w:hideMark/>
          </w:tcPr>
          <w:p w14:paraId="0828A8FE"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£12,735</w:t>
            </w:r>
          </w:p>
        </w:tc>
        <w:tc>
          <w:tcPr>
            <w:tcW w:w="945" w:type="dxa"/>
            <w:noWrap/>
            <w:hideMark/>
          </w:tcPr>
          <w:p w14:paraId="1AE7DDBC"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£12,735</w:t>
            </w:r>
          </w:p>
        </w:tc>
        <w:tc>
          <w:tcPr>
            <w:tcW w:w="946" w:type="dxa"/>
            <w:noWrap/>
            <w:hideMark/>
          </w:tcPr>
          <w:p w14:paraId="4C32376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£13,180</w:t>
            </w:r>
          </w:p>
        </w:tc>
        <w:tc>
          <w:tcPr>
            <w:tcW w:w="946" w:type="dxa"/>
            <w:noWrap/>
            <w:hideMark/>
          </w:tcPr>
          <w:p w14:paraId="3D838C6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£13,576</w:t>
            </w:r>
          </w:p>
        </w:tc>
        <w:tc>
          <w:tcPr>
            <w:tcW w:w="946" w:type="dxa"/>
            <w:noWrap/>
            <w:hideMark/>
          </w:tcPr>
          <w:p w14:paraId="7AAD6703" w14:textId="323343B9"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15</w:t>
            </w:r>
            <w:r w:rsidRPr="00B87900">
              <w:rPr>
                <w:rFonts w:ascii="Aptos Narrow" w:eastAsia="Times New Roman" w:hAnsi="Aptos Narrow" w:cs="Times New Roman"/>
                <w:color w:val="000000"/>
                <w:sz w:val="22"/>
                <w:szCs w:val="22"/>
                <w:lang w:eastAsia="en-GB"/>
              </w:rPr>
              <w:t>,</w:t>
            </w:r>
            <w:r w:rsidR="00C90ED6" w:rsidRPr="00B87900">
              <w:rPr>
                <w:rFonts w:ascii="Aptos Narrow" w:eastAsia="Times New Roman" w:hAnsi="Aptos Narrow" w:cs="Times New Roman"/>
                <w:color w:val="000000"/>
                <w:sz w:val="22"/>
                <w:szCs w:val="22"/>
                <w:lang w:eastAsia="en-GB"/>
              </w:rPr>
              <w:t>597</w:t>
            </w:r>
          </w:p>
        </w:tc>
        <w:tc>
          <w:tcPr>
            <w:tcW w:w="1056" w:type="dxa"/>
            <w:noWrap/>
            <w:hideMark/>
          </w:tcPr>
          <w:p w14:paraId="6955CF01" w14:textId="3F12577F"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67</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823</w:t>
            </w:r>
          </w:p>
        </w:tc>
      </w:tr>
      <w:tr w:rsidR="00E608AE" w:rsidRPr="00E608AE" w14:paraId="16B75C1D" w14:textId="77777777" w:rsidTr="00B52BB8">
        <w:trPr>
          <w:trHeight w:val="29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6038F2EF"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Other revenue expenditure</w:t>
            </w:r>
          </w:p>
        </w:tc>
        <w:tc>
          <w:tcPr>
            <w:tcW w:w="945" w:type="dxa"/>
            <w:noWrap/>
            <w:hideMark/>
          </w:tcPr>
          <w:p w14:paraId="03CCAB98"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£972</w:t>
            </w:r>
          </w:p>
        </w:tc>
        <w:tc>
          <w:tcPr>
            <w:tcW w:w="945" w:type="dxa"/>
            <w:noWrap/>
            <w:hideMark/>
          </w:tcPr>
          <w:p w14:paraId="5DDFA7DB"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£972</w:t>
            </w:r>
          </w:p>
        </w:tc>
        <w:tc>
          <w:tcPr>
            <w:tcW w:w="946" w:type="dxa"/>
            <w:noWrap/>
            <w:hideMark/>
          </w:tcPr>
          <w:p w14:paraId="68375AE4"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£996</w:t>
            </w:r>
          </w:p>
        </w:tc>
        <w:tc>
          <w:tcPr>
            <w:tcW w:w="946" w:type="dxa"/>
            <w:noWrap/>
            <w:hideMark/>
          </w:tcPr>
          <w:p w14:paraId="2EA6D0F8"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£1,016</w:t>
            </w:r>
          </w:p>
        </w:tc>
        <w:tc>
          <w:tcPr>
            <w:tcW w:w="946" w:type="dxa"/>
            <w:noWrap/>
            <w:hideMark/>
          </w:tcPr>
          <w:p w14:paraId="50AB8266" w14:textId="3DB37914"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B87900">
              <w:rPr>
                <w:rFonts w:ascii="Aptos Narrow" w:eastAsia="Times New Roman" w:hAnsi="Aptos Narrow" w:cs="Times New Roman"/>
                <w:color w:val="000000"/>
                <w:sz w:val="22"/>
                <w:szCs w:val="22"/>
                <w:lang w:eastAsia="en-GB"/>
              </w:rPr>
              <w:t>£1,</w:t>
            </w:r>
            <w:r w:rsidR="00C90ED6" w:rsidRPr="00B87900">
              <w:rPr>
                <w:rFonts w:ascii="Aptos Narrow" w:eastAsia="Times New Roman" w:hAnsi="Aptos Narrow" w:cs="Times New Roman"/>
                <w:color w:val="000000"/>
                <w:sz w:val="22"/>
                <w:szCs w:val="22"/>
                <w:lang w:eastAsia="en-GB"/>
              </w:rPr>
              <w:t>037</w:t>
            </w:r>
          </w:p>
        </w:tc>
        <w:tc>
          <w:tcPr>
            <w:tcW w:w="1056" w:type="dxa"/>
            <w:noWrap/>
            <w:hideMark/>
          </w:tcPr>
          <w:p w14:paraId="5EB667C2" w14:textId="2938DB38"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£4,</w:t>
            </w:r>
            <w:r w:rsidR="00C90ED6" w:rsidRPr="00B87900">
              <w:rPr>
                <w:rFonts w:ascii="Aptos Narrow" w:eastAsia="Times New Roman" w:hAnsi="Aptos Narrow" w:cs="Times New Roman"/>
                <w:b/>
                <w:bCs/>
                <w:color w:val="000000"/>
                <w:sz w:val="22"/>
                <w:szCs w:val="22"/>
                <w:lang w:eastAsia="en-GB"/>
              </w:rPr>
              <w:t>994</w:t>
            </w:r>
          </w:p>
        </w:tc>
      </w:tr>
      <w:tr w:rsidR="00E608AE" w:rsidRPr="00E608AE" w14:paraId="2A67796E" w14:textId="77777777" w:rsidTr="00B52BB8">
        <w:trPr>
          <w:trHeight w:val="300"/>
        </w:trPr>
        <w:tc>
          <w:tcPr>
            <w:cnfStyle w:val="001000000000" w:firstRow="0" w:lastRow="0" w:firstColumn="1" w:lastColumn="0" w:oddVBand="0" w:evenVBand="0" w:oddHBand="0" w:evenHBand="0" w:firstRowFirstColumn="0" w:firstRowLastColumn="0" w:lastRowFirstColumn="0" w:lastRowLastColumn="0"/>
            <w:tcW w:w="2658" w:type="dxa"/>
            <w:noWrap/>
            <w:hideMark/>
          </w:tcPr>
          <w:p w14:paraId="135587D3" w14:textId="77777777" w:rsidR="00E608AE" w:rsidRPr="00E608AE" w:rsidRDefault="00E608AE" w:rsidP="00E608AE">
            <w:pPr>
              <w:rPr>
                <w:rFonts w:ascii="Aptos Narrow" w:eastAsia="Times New Roman" w:hAnsi="Aptos Narrow" w:cs="Times New Roman"/>
                <w:color w:val="000000"/>
                <w:sz w:val="22"/>
                <w:szCs w:val="22"/>
                <w:lang w:eastAsia="en-GB"/>
              </w:rPr>
            </w:pPr>
            <w:r w:rsidRPr="00E608AE">
              <w:rPr>
                <w:rFonts w:ascii="Aptos Narrow" w:eastAsia="Times New Roman" w:hAnsi="Aptos Narrow" w:cs="Times New Roman"/>
                <w:color w:val="000000"/>
                <w:sz w:val="22"/>
                <w:szCs w:val="22"/>
                <w:lang w:eastAsia="en-GB"/>
              </w:rPr>
              <w:t>Total</w:t>
            </w:r>
          </w:p>
        </w:tc>
        <w:tc>
          <w:tcPr>
            <w:tcW w:w="945" w:type="dxa"/>
            <w:noWrap/>
            <w:hideMark/>
          </w:tcPr>
          <w:p w14:paraId="53486179"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£28,508</w:t>
            </w:r>
          </w:p>
        </w:tc>
        <w:tc>
          <w:tcPr>
            <w:tcW w:w="945" w:type="dxa"/>
            <w:noWrap/>
            <w:hideMark/>
          </w:tcPr>
          <w:p w14:paraId="1AD04529"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£28,509</w:t>
            </w:r>
          </w:p>
        </w:tc>
        <w:tc>
          <w:tcPr>
            <w:tcW w:w="946" w:type="dxa"/>
            <w:noWrap/>
            <w:hideMark/>
          </w:tcPr>
          <w:p w14:paraId="42FA0671"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£29,357</w:t>
            </w:r>
          </w:p>
        </w:tc>
        <w:tc>
          <w:tcPr>
            <w:tcW w:w="946" w:type="dxa"/>
            <w:noWrap/>
            <w:hideMark/>
          </w:tcPr>
          <w:p w14:paraId="0CD60102" w14:textId="77777777" w:rsidR="00E608AE" w:rsidRPr="00E608AE"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E608AE">
              <w:rPr>
                <w:rFonts w:ascii="Aptos Narrow" w:eastAsia="Times New Roman" w:hAnsi="Aptos Narrow" w:cs="Times New Roman"/>
                <w:b/>
                <w:bCs/>
                <w:color w:val="000000"/>
                <w:sz w:val="22"/>
                <w:szCs w:val="22"/>
                <w:lang w:eastAsia="en-GB"/>
              </w:rPr>
              <w:t>£30,063</w:t>
            </w:r>
          </w:p>
        </w:tc>
        <w:tc>
          <w:tcPr>
            <w:tcW w:w="946" w:type="dxa"/>
            <w:noWrap/>
            <w:hideMark/>
          </w:tcPr>
          <w:p w14:paraId="08F1690B" w14:textId="52DFB1F0"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32</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747</w:t>
            </w:r>
          </w:p>
        </w:tc>
        <w:tc>
          <w:tcPr>
            <w:tcW w:w="1056" w:type="dxa"/>
            <w:noWrap/>
            <w:hideMark/>
          </w:tcPr>
          <w:p w14:paraId="30579121" w14:textId="0374A952" w:rsidR="00E608AE" w:rsidRPr="00B87900" w:rsidRDefault="00E608AE" w:rsidP="00E608AE">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149</w:t>
            </w:r>
            <w:r w:rsidRPr="00B87900">
              <w:rPr>
                <w:rFonts w:ascii="Aptos Narrow" w:eastAsia="Times New Roman" w:hAnsi="Aptos Narrow" w:cs="Times New Roman"/>
                <w:b/>
                <w:bCs/>
                <w:color w:val="000000"/>
                <w:sz w:val="22"/>
                <w:szCs w:val="22"/>
                <w:lang w:eastAsia="en-GB"/>
              </w:rPr>
              <w:t>,</w:t>
            </w:r>
            <w:r w:rsidR="00C90ED6" w:rsidRPr="00B87900">
              <w:rPr>
                <w:rFonts w:ascii="Aptos Narrow" w:eastAsia="Times New Roman" w:hAnsi="Aptos Narrow" w:cs="Times New Roman"/>
                <w:b/>
                <w:bCs/>
                <w:color w:val="000000"/>
                <w:sz w:val="22"/>
                <w:szCs w:val="22"/>
                <w:lang w:eastAsia="en-GB"/>
              </w:rPr>
              <w:t>184</w:t>
            </w:r>
          </w:p>
        </w:tc>
      </w:tr>
    </w:tbl>
    <w:p w14:paraId="1B92DFED" w14:textId="77777777" w:rsidR="002479FF" w:rsidRDefault="002479FF" w:rsidP="00817E10">
      <w:pPr>
        <w:spacing w:after="120" w:line="259" w:lineRule="auto"/>
        <w:rPr>
          <w:rFonts w:ascii="Noto Sans" w:eastAsia="Calibri" w:hAnsi="Noto Sans" w:cs="Noto Sans"/>
          <w:lang w:val="en-US" w:eastAsia="en-GB"/>
        </w:rPr>
      </w:pPr>
    </w:p>
    <w:p w14:paraId="34386295" w14:textId="77777777" w:rsidR="00930631" w:rsidRDefault="00930631" w:rsidP="00817E10">
      <w:pPr>
        <w:spacing w:after="120" w:line="259" w:lineRule="auto"/>
        <w:rPr>
          <w:rFonts w:ascii="Noto Sans" w:eastAsia="Calibri" w:hAnsi="Noto Sans" w:cs="Noto Sans"/>
          <w:lang w:val="en-US" w:eastAsia="en-GB"/>
        </w:rPr>
      </w:pPr>
    </w:p>
    <w:p w14:paraId="6AB42FE4" w14:textId="77777777" w:rsidR="00930631" w:rsidRPr="002479FF" w:rsidRDefault="00930631" w:rsidP="00817E10">
      <w:pPr>
        <w:spacing w:after="120" w:line="259" w:lineRule="auto"/>
        <w:rPr>
          <w:rFonts w:ascii="Noto Sans" w:eastAsia="Calibri" w:hAnsi="Noto Sans" w:cs="Noto Sans"/>
          <w:lang w:val="en-US" w:eastAsia="en-GB"/>
        </w:rPr>
      </w:pPr>
    </w:p>
    <w:p w14:paraId="002941DE" w14:textId="77777777" w:rsidR="002479FF" w:rsidRDefault="002479FF">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4704B0D2" w14:textId="723541C6" w:rsidR="0006397D" w:rsidRPr="00E05588" w:rsidRDefault="00986EDF"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Investing in our existing homes and estates</w:t>
      </w:r>
    </w:p>
    <w:p w14:paraId="570C2B61" w14:textId="7FEA517E" w:rsidR="0006397D" w:rsidRDefault="0006397D" w:rsidP="0006397D">
      <w:pPr>
        <w:ind w:left="-76"/>
        <w:rPr>
          <w:rFonts w:ascii="Noto Sans" w:eastAsia="Calibri" w:hAnsi="Noto Sans" w:cs="Noto Sans"/>
          <w:lang w:val="en-US" w:eastAsia="en-GB"/>
        </w:rPr>
      </w:pPr>
    </w:p>
    <w:p w14:paraId="09737589" w14:textId="1B83E235" w:rsidR="00986EDF" w:rsidRPr="009C03BC" w:rsidRDefault="00132317" w:rsidP="001709F1">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W</w:t>
      </w:r>
      <w:r w:rsidR="007A5B0B" w:rsidRPr="009C03BC">
        <w:rPr>
          <w:rFonts w:ascii="Noto Sans" w:eastAsia="Calibri" w:hAnsi="Noto Sans" w:cs="Noto Sans"/>
          <w:b/>
          <w:bCs/>
          <w:lang w:val="en-US" w:eastAsia="en-GB"/>
        </w:rPr>
        <w:t>e are committed to being</w:t>
      </w:r>
      <w:r w:rsidR="002755C1" w:rsidRPr="009C03BC">
        <w:rPr>
          <w:rFonts w:ascii="Noto Sans" w:eastAsia="Calibri" w:hAnsi="Noto Sans" w:cs="Noto Sans"/>
          <w:b/>
          <w:bCs/>
          <w:lang w:val="en-US" w:eastAsia="en-GB"/>
        </w:rPr>
        <w:t xml:space="preserve"> a good landlord</w:t>
      </w:r>
      <w:r w:rsidR="00875C06" w:rsidRPr="009C03BC">
        <w:rPr>
          <w:rFonts w:ascii="Noto Sans" w:eastAsia="Calibri" w:hAnsi="Noto Sans" w:cs="Noto Sans"/>
          <w:b/>
          <w:bCs/>
          <w:lang w:val="en-US" w:eastAsia="en-GB"/>
        </w:rPr>
        <w:t>, making sure we invest in maintaining and</w:t>
      </w:r>
      <w:r w:rsidR="002755C1" w:rsidRPr="009C03BC">
        <w:rPr>
          <w:rFonts w:ascii="Noto Sans" w:eastAsia="Calibri" w:hAnsi="Noto Sans" w:cs="Noto Sans"/>
          <w:b/>
          <w:bCs/>
          <w:lang w:val="en-US" w:eastAsia="en-GB"/>
        </w:rPr>
        <w:t xml:space="preserve"> improving the quality of </w:t>
      </w:r>
      <w:r w:rsidR="00D620B3" w:rsidRPr="009C03BC">
        <w:rPr>
          <w:rFonts w:ascii="Noto Sans" w:eastAsia="Calibri" w:hAnsi="Noto Sans" w:cs="Noto Sans"/>
          <w:b/>
          <w:bCs/>
          <w:lang w:val="en-US" w:eastAsia="en-GB"/>
        </w:rPr>
        <w:t xml:space="preserve">our existing </w:t>
      </w:r>
      <w:r w:rsidR="002755C1" w:rsidRPr="009C03BC">
        <w:rPr>
          <w:rFonts w:ascii="Noto Sans" w:eastAsia="Calibri" w:hAnsi="Noto Sans" w:cs="Noto Sans"/>
          <w:b/>
          <w:bCs/>
          <w:lang w:val="en-US" w:eastAsia="en-GB"/>
        </w:rPr>
        <w:t>council homes</w:t>
      </w:r>
      <w:r w:rsidR="00D620B3" w:rsidRPr="009C03BC">
        <w:rPr>
          <w:rFonts w:ascii="Noto Sans" w:eastAsia="Calibri" w:hAnsi="Noto Sans" w:cs="Noto Sans"/>
          <w:b/>
          <w:bCs/>
          <w:lang w:val="en-US" w:eastAsia="en-GB"/>
        </w:rPr>
        <w:t xml:space="preserve">. </w:t>
      </w:r>
      <w:r w:rsidR="000669FA" w:rsidRPr="009C03BC">
        <w:rPr>
          <w:rFonts w:ascii="Noto Sans" w:eastAsia="Calibri" w:hAnsi="Noto Sans" w:cs="Noto Sans"/>
          <w:b/>
          <w:bCs/>
          <w:lang w:val="en-US" w:eastAsia="en-GB"/>
        </w:rPr>
        <w:t xml:space="preserve">To help us do this we are building our approach to strategic asset management </w:t>
      </w:r>
      <w:r w:rsidR="00781DE9" w:rsidRPr="009C03BC">
        <w:rPr>
          <w:rFonts w:ascii="Noto Sans" w:eastAsia="Calibri" w:hAnsi="Noto Sans" w:cs="Noto Sans"/>
          <w:b/>
          <w:bCs/>
          <w:lang w:val="en-US" w:eastAsia="en-GB"/>
        </w:rPr>
        <w:t>through</w:t>
      </w:r>
      <w:r w:rsidR="000669FA" w:rsidRPr="009C03BC">
        <w:rPr>
          <w:rFonts w:ascii="Noto Sans" w:eastAsia="Calibri" w:hAnsi="Noto Sans" w:cs="Noto Sans"/>
          <w:b/>
          <w:bCs/>
          <w:lang w:val="en-US" w:eastAsia="en-GB"/>
        </w:rPr>
        <w:t xml:space="preserve"> our </w:t>
      </w:r>
      <w:r w:rsidR="005B399D" w:rsidRPr="009C03BC">
        <w:rPr>
          <w:rFonts w:ascii="Noto Sans" w:eastAsia="Calibri" w:hAnsi="Noto Sans" w:cs="Noto Sans"/>
          <w:b/>
          <w:bCs/>
          <w:lang w:val="en-US" w:eastAsia="en-GB"/>
        </w:rPr>
        <w:t xml:space="preserve">HRA </w:t>
      </w:r>
      <w:r w:rsidR="000669FA" w:rsidRPr="009C03BC">
        <w:rPr>
          <w:rFonts w:ascii="Noto Sans" w:eastAsia="Calibri" w:hAnsi="Noto Sans" w:cs="Noto Sans"/>
          <w:b/>
          <w:bCs/>
          <w:lang w:val="en-US" w:eastAsia="en-GB"/>
        </w:rPr>
        <w:t>Asset Management Plan</w:t>
      </w:r>
      <w:r w:rsidR="00781DE9" w:rsidRPr="009C03BC">
        <w:rPr>
          <w:rFonts w:ascii="Noto Sans" w:eastAsia="Calibri" w:hAnsi="Noto Sans" w:cs="Noto Sans"/>
          <w:b/>
          <w:bCs/>
          <w:lang w:val="en-US" w:eastAsia="en-GB"/>
        </w:rPr>
        <w:t xml:space="preserve"> 2025 to 2027.</w:t>
      </w:r>
      <w:r w:rsidR="00317F56" w:rsidRPr="009C03BC">
        <w:rPr>
          <w:rFonts w:ascii="Noto Sans" w:eastAsia="Calibri" w:hAnsi="Noto Sans" w:cs="Noto Sans"/>
          <w:b/>
          <w:bCs/>
          <w:lang w:val="en-US" w:eastAsia="en-GB"/>
        </w:rPr>
        <w:t xml:space="preserve"> This sets out our investment priorities</w:t>
      </w:r>
      <w:r w:rsidR="00414E8D" w:rsidRPr="009C03BC">
        <w:rPr>
          <w:rFonts w:ascii="Noto Sans" w:eastAsia="Calibri" w:hAnsi="Noto Sans" w:cs="Noto Sans"/>
          <w:b/>
          <w:bCs/>
          <w:lang w:val="en-US" w:eastAsia="en-GB"/>
        </w:rPr>
        <w:t xml:space="preserve"> for the next three years and lays the foundations for the development of a longer-term Asset Management Strategy.</w:t>
      </w:r>
    </w:p>
    <w:p w14:paraId="4E2F9A67" w14:textId="2D9054A1" w:rsidR="00414E8D" w:rsidRDefault="00D279C7" w:rsidP="001709F1">
      <w:pPr>
        <w:spacing w:after="120" w:line="259" w:lineRule="auto"/>
        <w:rPr>
          <w:rFonts w:ascii="Noto Sans" w:eastAsia="Calibri" w:hAnsi="Noto Sans" w:cs="Noto Sans"/>
          <w:lang w:val="en-US" w:eastAsia="en-GB"/>
        </w:rPr>
      </w:pPr>
      <w:r>
        <w:rPr>
          <w:rFonts w:ascii="Noto Sans" w:eastAsia="Calibri" w:hAnsi="Noto Sans" w:cs="Noto Sans"/>
          <w:b/>
          <w:bCs/>
          <w:noProof/>
          <w:lang w:val="en-US" w:eastAsia="en-GB"/>
        </w:rPr>
        <w:drawing>
          <wp:anchor distT="0" distB="0" distL="114300" distR="114300" simplePos="0" relativeHeight="251666432" behindDoc="0" locked="0" layoutInCell="1" allowOverlap="1" wp14:anchorId="704D1FF9" wp14:editId="1E193C37">
            <wp:simplePos x="0" y="0"/>
            <wp:positionH relativeFrom="column">
              <wp:posOffset>2082800</wp:posOffset>
            </wp:positionH>
            <wp:positionV relativeFrom="paragraph">
              <wp:posOffset>78740</wp:posOffset>
            </wp:positionV>
            <wp:extent cx="3853180" cy="1995170"/>
            <wp:effectExtent l="0" t="0" r="0" b="5080"/>
            <wp:wrapSquare wrapText="bothSides"/>
            <wp:docPr id="1940160360" name="Picture 1" descr="A group of text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60360" name="Picture 1" descr="A group of text on a scree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53180" cy="1995170"/>
                    </a:xfrm>
                    <a:prstGeom prst="rect">
                      <a:avLst/>
                    </a:prstGeom>
                    <a:noFill/>
                  </pic:spPr>
                </pic:pic>
              </a:graphicData>
            </a:graphic>
            <wp14:sizeRelH relativeFrom="page">
              <wp14:pctWidth>0</wp14:pctWidth>
            </wp14:sizeRelH>
            <wp14:sizeRelV relativeFrom="page">
              <wp14:pctHeight>0</wp14:pctHeight>
            </wp14:sizeRelV>
          </wp:anchor>
        </w:drawing>
      </w:r>
      <w:r w:rsidR="00C75370" w:rsidRPr="00C75370">
        <w:rPr>
          <w:rFonts w:ascii="Noto Sans" w:eastAsia="Calibri" w:hAnsi="Noto Sans" w:cs="Noto Sans"/>
          <w:lang w:val="en-US" w:eastAsia="en-GB"/>
        </w:rPr>
        <w:t xml:space="preserve">The </w:t>
      </w:r>
      <w:r w:rsidR="00183B86">
        <w:rPr>
          <w:rFonts w:ascii="Noto Sans" w:eastAsia="Calibri" w:hAnsi="Noto Sans" w:cs="Noto Sans"/>
          <w:lang w:val="en-US" w:eastAsia="en-GB"/>
        </w:rPr>
        <w:t xml:space="preserve">six </w:t>
      </w:r>
      <w:r w:rsidR="00DF6A70">
        <w:rPr>
          <w:rFonts w:ascii="Noto Sans" w:eastAsia="Calibri" w:hAnsi="Noto Sans" w:cs="Noto Sans"/>
          <w:lang w:val="en-US" w:eastAsia="en-GB"/>
        </w:rPr>
        <w:t>priorities include</w:t>
      </w:r>
      <w:r w:rsidR="00C75370" w:rsidRPr="00C75370">
        <w:rPr>
          <w:rFonts w:ascii="Noto Sans" w:eastAsia="Calibri" w:hAnsi="Noto Sans" w:cs="Noto Sans"/>
          <w:lang w:val="en-US" w:eastAsia="en-GB"/>
        </w:rPr>
        <w:t xml:space="preserve"> how we will listen and engage with tenants, deliver homes that are safe and in good repair, make decisions and use data to ensure we invest wisely to deliver homes that are ‘fit for the future’, and provide </w:t>
      </w:r>
      <w:proofErr w:type="spellStart"/>
      <w:r w:rsidR="00C75370" w:rsidRPr="00C75370">
        <w:rPr>
          <w:rFonts w:ascii="Noto Sans" w:eastAsia="Calibri" w:hAnsi="Noto Sans" w:cs="Noto Sans"/>
          <w:lang w:val="en-US" w:eastAsia="en-GB"/>
        </w:rPr>
        <w:t>neighbourhoods</w:t>
      </w:r>
      <w:proofErr w:type="spellEnd"/>
      <w:r w:rsidR="00C75370" w:rsidRPr="00C75370">
        <w:rPr>
          <w:rFonts w:ascii="Noto Sans" w:eastAsia="Calibri" w:hAnsi="Noto Sans" w:cs="Noto Sans"/>
          <w:lang w:val="en-US" w:eastAsia="en-GB"/>
        </w:rPr>
        <w:t xml:space="preserve"> where people want to live, work and play. The Plan sets out</w:t>
      </w:r>
      <w:r w:rsidR="00973175">
        <w:rPr>
          <w:rFonts w:ascii="Noto Sans" w:eastAsia="Calibri" w:hAnsi="Noto Sans" w:cs="Noto Sans"/>
          <w:lang w:val="en-US" w:eastAsia="en-GB"/>
        </w:rPr>
        <w:t xml:space="preserve"> the resources needed to fund </w:t>
      </w:r>
      <w:r w:rsidR="005B656E">
        <w:rPr>
          <w:rFonts w:ascii="Noto Sans" w:eastAsia="Calibri" w:hAnsi="Noto Sans" w:cs="Noto Sans"/>
          <w:lang w:val="en-US" w:eastAsia="en-GB"/>
        </w:rPr>
        <w:t xml:space="preserve">the works we need to deliver. However, there are </w:t>
      </w:r>
      <w:r w:rsidR="005B656E" w:rsidRPr="005B656E">
        <w:rPr>
          <w:rFonts w:ascii="Noto Sans" w:eastAsia="Calibri" w:hAnsi="Noto Sans" w:cs="Noto Sans"/>
          <w:lang w:val="en-US" w:eastAsia="en-GB"/>
        </w:rPr>
        <w:t xml:space="preserve">choices </w:t>
      </w:r>
      <w:r w:rsidR="005B656E">
        <w:rPr>
          <w:rFonts w:ascii="Noto Sans" w:eastAsia="Calibri" w:hAnsi="Noto Sans" w:cs="Noto Sans"/>
          <w:lang w:val="en-US" w:eastAsia="en-GB"/>
        </w:rPr>
        <w:t>we need</w:t>
      </w:r>
      <w:r w:rsidR="005B656E" w:rsidRPr="005B656E">
        <w:rPr>
          <w:rFonts w:ascii="Noto Sans" w:eastAsia="Calibri" w:hAnsi="Noto Sans" w:cs="Noto Sans"/>
          <w:lang w:val="en-US" w:eastAsia="en-GB"/>
        </w:rPr>
        <w:t xml:space="preserve"> to make </w:t>
      </w:r>
      <w:r w:rsidR="005B656E">
        <w:rPr>
          <w:rFonts w:ascii="Noto Sans" w:eastAsia="Calibri" w:hAnsi="Noto Sans" w:cs="Noto Sans"/>
          <w:lang w:val="en-US" w:eastAsia="en-GB"/>
        </w:rPr>
        <w:t>around the a</w:t>
      </w:r>
      <w:r w:rsidR="009B3CE5">
        <w:rPr>
          <w:rFonts w:ascii="Noto Sans" w:eastAsia="Calibri" w:hAnsi="Noto Sans" w:cs="Noto Sans"/>
          <w:lang w:val="en-US" w:eastAsia="en-GB"/>
        </w:rPr>
        <w:t>vailability of funds</w:t>
      </w:r>
      <w:r w:rsidR="002D7038">
        <w:rPr>
          <w:rFonts w:ascii="Noto Sans" w:eastAsia="Calibri" w:hAnsi="Noto Sans" w:cs="Noto Sans"/>
          <w:lang w:val="en-US" w:eastAsia="en-GB"/>
        </w:rPr>
        <w:t>. This includes</w:t>
      </w:r>
      <w:r w:rsidR="005B656E" w:rsidRPr="005B656E">
        <w:rPr>
          <w:rFonts w:ascii="Noto Sans" w:eastAsia="Calibri" w:hAnsi="Noto Sans" w:cs="Noto Sans"/>
          <w:lang w:val="en-US" w:eastAsia="en-GB"/>
        </w:rPr>
        <w:t xml:space="preserve"> </w:t>
      </w:r>
      <w:proofErr w:type="spellStart"/>
      <w:r w:rsidR="005B656E" w:rsidRPr="005B656E">
        <w:rPr>
          <w:rFonts w:ascii="Noto Sans" w:eastAsia="Calibri" w:hAnsi="Noto Sans" w:cs="Noto Sans"/>
          <w:lang w:val="en-US" w:eastAsia="en-GB"/>
        </w:rPr>
        <w:t>prioritisation</w:t>
      </w:r>
      <w:proofErr w:type="spellEnd"/>
      <w:r w:rsidR="005B656E" w:rsidRPr="005B656E">
        <w:rPr>
          <w:rFonts w:ascii="Noto Sans" w:eastAsia="Calibri" w:hAnsi="Noto Sans" w:cs="Noto Sans"/>
          <w:lang w:val="en-US" w:eastAsia="en-GB"/>
        </w:rPr>
        <w:t xml:space="preserve"> of the works and </w:t>
      </w:r>
      <w:r w:rsidR="009B3CE5">
        <w:rPr>
          <w:rFonts w:ascii="Noto Sans" w:eastAsia="Calibri" w:hAnsi="Noto Sans" w:cs="Noto Sans"/>
          <w:lang w:val="en-US" w:eastAsia="en-GB"/>
        </w:rPr>
        <w:t xml:space="preserve">the </w:t>
      </w:r>
      <w:r w:rsidR="005B656E" w:rsidRPr="005B656E">
        <w:rPr>
          <w:rFonts w:ascii="Noto Sans" w:eastAsia="Calibri" w:hAnsi="Noto Sans" w:cs="Noto Sans"/>
          <w:lang w:val="en-US" w:eastAsia="en-GB"/>
        </w:rPr>
        <w:t>investment it delivers</w:t>
      </w:r>
      <w:r w:rsidR="006C7B4A">
        <w:rPr>
          <w:rFonts w:ascii="Noto Sans" w:eastAsia="Calibri" w:hAnsi="Noto Sans" w:cs="Noto Sans"/>
          <w:lang w:val="en-US" w:eastAsia="en-GB"/>
        </w:rPr>
        <w:t>, along with</w:t>
      </w:r>
      <w:r w:rsidR="005B656E" w:rsidRPr="005B656E">
        <w:rPr>
          <w:rFonts w:ascii="Noto Sans" w:eastAsia="Calibri" w:hAnsi="Noto Sans" w:cs="Noto Sans"/>
          <w:lang w:val="en-US" w:eastAsia="en-GB"/>
        </w:rPr>
        <w:t xml:space="preserve"> an</w:t>
      </w:r>
      <w:r w:rsidR="006C7B4A">
        <w:rPr>
          <w:rFonts w:ascii="Noto Sans" w:eastAsia="Calibri" w:hAnsi="Noto Sans" w:cs="Noto Sans"/>
          <w:lang w:val="en-US" w:eastAsia="en-GB"/>
        </w:rPr>
        <w:t>y</w:t>
      </w:r>
      <w:r w:rsidR="005B656E" w:rsidRPr="005B656E">
        <w:rPr>
          <w:rFonts w:ascii="Noto Sans" w:eastAsia="Calibri" w:hAnsi="Noto Sans" w:cs="Noto Sans"/>
          <w:lang w:val="en-US" w:eastAsia="en-GB"/>
        </w:rPr>
        <w:t xml:space="preserve"> mitigating action that improves financial sustainability for the HRA.</w:t>
      </w:r>
      <w:r w:rsidR="005B656E">
        <w:rPr>
          <w:rFonts w:ascii="Noto Sans" w:eastAsia="Calibri" w:hAnsi="Noto Sans" w:cs="Noto Sans"/>
          <w:lang w:val="en-US" w:eastAsia="en-GB"/>
        </w:rPr>
        <w:t xml:space="preserve"> </w:t>
      </w:r>
      <w:r w:rsidR="006C7B4A">
        <w:rPr>
          <w:rFonts w:ascii="Noto Sans" w:eastAsia="Calibri" w:hAnsi="Noto Sans" w:cs="Noto Sans"/>
          <w:lang w:val="en-US" w:eastAsia="en-GB"/>
        </w:rPr>
        <w:t xml:space="preserve">In determining </w:t>
      </w:r>
      <w:r w:rsidR="007E68B4">
        <w:rPr>
          <w:rFonts w:ascii="Noto Sans" w:eastAsia="Calibri" w:hAnsi="Noto Sans" w:cs="Noto Sans"/>
          <w:lang w:val="en-US" w:eastAsia="en-GB"/>
        </w:rPr>
        <w:t xml:space="preserve">our work </w:t>
      </w:r>
      <w:proofErr w:type="spellStart"/>
      <w:r w:rsidR="007E68B4">
        <w:rPr>
          <w:rFonts w:ascii="Noto Sans" w:eastAsia="Calibri" w:hAnsi="Noto Sans" w:cs="Noto Sans"/>
          <w:lang w:val="en-US" w:eastAsia="en-GB"/>
        </w:rPr>
        <w:t>programmes</w:t>
      </w:r>
      <w:proofErr w:type="spellEnd"/>
      <w:r w:rsidR="007E68B4">
        <w:rPr>
          <w:rFonts w:ascii="Noto Sans" w:eastAsia="Calibri" w:hAnsi="Noto Sans" w:cs="Noto Sans"/>
          <w:lang w:val="en-US" w:eastAsia="en-GB"/>
        </w:rPr>
        <w:t>, we</w:t>
      </w:r>
      <w:r w:rsidR="009B3CE5">
        <w:rPr>
          <w:rFonts w:ascii="Noto Sans" w:eastAsia="Calibri" w:hAnsi="Noto Sans" w:cs="Noto Sans"/>
          <w:lang w:val="en-US" w:eastAsia="en-GB"/>
        </w:rPr>
        <w:t xml:space="preserve"> need to have</w:t>
      </w:r>
      <w:r w:rsidR="00C75370" w:rsidRPr="00C75370">
        <w:rPr>
          <w:rFonts w:ascii="Noto Sans" w:eastAsia="Calibri" w:hAnsi="Noto Sans" w:cs="Noto Sans"/>
          <w:lang w:val="en-US" w:eastAsia="en-GB"/>
        </w:rPr>
        <w:t xml:space="preserve"> strong governance</w:t>
      </w:r>
      <w:r w:rsidR="009B3CE5">
        <w:rPr>
          <w:rFonts w:ascii="Noto Sans" w:eastAsia="Calibri" w:hAnsi="Noto Sans" w:cs="Noto Sans"/>
          <w:lang w:val="en-US" w:eastAsia="en-GB"/>
        </w:rPr>
        <w:t xml:space="preserve"> practices</w:t>
      </w:r>
      <w:r w:rsidR="002D7038">
        <w:rPr>
          <w:rFonts w:ascii="Noto Sans" w:eastAsia="Calibri" w:hAnsi="Noto Sans" w:cs="Noto Sans"/>
          <w:lang w:val="en-US" w:eastAsia="en-GB"/>
        </w:rPr>
        <w:t xml:space="preserve"> in place</w:t>
      </w:r>
      <w:r w:rsidR="007E68B4">
        <w:rPr>
          <w:rFonts w:ascii="Noto Sans" w:eastAsia="Calibri" w:hAnsi="Noto Sans" w:cs="Noto Sans"/>
          <w:lang w:val="en-US" w:eastAsia="en-GB"/>
        </w:rPr>
        <w:t>, including</w:t>
      </w:r>
      <w:r w:rsidR="00C75370" w:rsidRPr="00C75370">
        <w:rPr>
          <w:rFonts w:ascii="Noto Sans" w:eastAsia="Calibri" w:hAnsi="Noto Sans" w:cs="Noto Sans"/>
          <w:lang w:val="en-US" w:eastAsia="en-GB"/>
        </w:rPr>
        <w:t xml:space="preserve"> how we will account for our progress.</w:t>
      </w:r>
    </w:p>
    <w:p w14:paraId="58F812D9" w14:textId="59E11994" w:rsidR="00A91AB0" w:rsidRDefault="001D2109" w:rsidP="001709F1">
      <w:pPr>
        <w:spacing w:after="120" w:line="259" w:lineRule="auto"/>
        <w:rPr>
          <w:rFonts w:ascii="Noto Sans" w:eastAsia="Calibri" w:hAnsi="Noto Sans" w:cs="Noto Sans"/>
          <w:lang w:val="en-US" w:eastAsia="en-GB"/>
        </w:rPr>
      </w:pPr>
      <w:r>
        <w:rPr>
          <w:rFonts w:ascii="Noto Sans" w:eastAsia="Calibri" w:hAnsi="Noto Sans" w:cs="Noto Sans"/>
          <w:lang w:val="en-US" w:eastAsia="en-GB"/>
        </w:rPr>
        <w:t>Using recently collected stock condition survey data w</w:t>
      </w:r>
      <w:r w:rsidR="009079D2">
        <w:rPr>
          <w:rFonts w:ascii="Noto Sans" w:eastAsia="Calibri" w:hAnsi="Noto Sans" w:cs="Noto Sans"/>
          <w:lang w:val="en-US" w:eastAsia="en-GB"/>
        </w:rPr>
        <w:t xml:space="preserve">e have developed a </w:t>
      </w:r>
      <w:r w:rsidR="009079D2" w:rsidRPr="00D852D1">
        <w:rPr>
          <w:rFonts w:ascii="Noto Sans" w:eastAsia="Calibri" w:hAnsi="Noto Sans" w:cs="Noto Sans"/>
          <w:lang w:val="en-US" w:eastAsia="en-GB"/>
        </w:rPr>
        <w:t>detailed five</w:t>
      </w:r>
      <w:r w:rsidR="000A1B32">
        <w:rPr>
          <w:rFonts w:ascii="Noto Sans" w:eastAsia="Calibri" w:hAnsi="Noto Sans" w:cs="Noto Sans"/>
          <w:lang w:val="en-US" w:eastAsia="en-GB"/>
        </w:rPr>
        <w:t>-</w:t>
      </w:r>
      <w:r w:rsidR="009079D2" w:rsidRPr="00D852D1">
        <w:rPr>
          <w:rFonts w:ascii="Noto Sans" w:eastAsia="Calibri" w:hAnsi="Noto Sans" w:cs="Noto Sans"/>
          <w:lang w:val="en-US" w:eastAsia="en-GB"/>
        </w:rPr>
        <w:t xml:space="preserve">year investment plan covering the period </w:t>
      </w:r>
      <w:r w:rsidR="00F008B0" w:rsidRPr="00D852D1">
        <w:rPr>
          <w:rFonts w:ascii="Noto Sans" w:eastAsia="Calibri" w:hAnsi="Noto Sans" w:cs="Noto Sans"/>
          <w:lang w:val="en-US" w:eastAsia="en-GB"/>
        </w:rPr>
        <w:t>to 20</w:t>
      </w:r>
      <w:r w:rsidR="00D852D1" w:rsidRPr="00D852D1">
        <w:rPr>
          <w:rFonts w:ascii="Noto Sans" w:eastAsia="Calibri" w:hAnsi="Noto Sans" w:cs="Noto Sans"/>
          <w:lang w:val="en-US" w:eastAsia="en-GB"/>
        </w:rPr>
        <w:t>2</w:t>
      </w:r>
      <w:r w:rsidR="00C529C9">
        <w:rPr>
          <w:rFonts w:ascii="Noto Sans" w:eastAsia="Calibri" w:hAnsi="Noto Sans" w:cs="Noto Sans"/>
          <w:lang w:val="en-US" w:eastAsia="en-GB"/>
        </w:rPr>
        <w:t>8</w:t>
      </w:r>
      <w:r w:rsidR="00D852D1" w:rsidRPr="00D852D1">
        <w:rPr>
          <w:rFonts w:ascii="Noto Sans" w:eastAsia="Calibri" w:hAnsi="Noto Sans" w:cs="Noto Sans"/>
          <w:lang w:val="en-US" w:eastAsia="en-GB"/>
        </w:rPr>
        <w:t>/</w:t>
      </w:r>
      <w:r w:rsidR="00C529C9">
        <w:rPr>
          <w:rFonts w:ascii="Noto Sans" w:eastAsia="Calibri" w:hAnsi="Noto Sans" w:cs="Noto Sans"/>
          <w:lang w:val="en-US" w:eastAsia="en-GB"/>
        </w:rPr>
        <w:t>29</w:t>
      </w:r>
      <w:r w:rsidR="00077F38">
        <w:rPr>
          <w:rFonts w:ascii="Noto Sans" w:eastAsia="Calibri" w:hAnsi="Noto Sans" w:cs="Noto Sans"/>
          <w:lang w:val="en-US" w:eastAsia="en-GB"/>
        </w:rPr>
        <w:t>.</w:t>
      </w:r>
      <w:r w:rsidR="009079D2">
        <w:rPr>
          <w:rFonts w:ascii="Noto Sans" w:eastAsia="Calibri" w:hAnsi="Noto Sans" w:cs="Noto Sans"/>
          <w:lang w:val="en-US" w:eastAsia="en-GB"/>
        </w:rPr>
        <w:t xml:space="preserve"> </w:t>
      </w:r>
      <w:r w:rsidR="00B00833">
        <w:rPr>
          <w:rFonts w:ascii="Noto Sans" w:eastAsia="Calibri" w:hAnsi="Noto Sans" w:cs="Noto Sans"/>
          <w:lang w:val="en-US" w:eastAsia="en-GB"/>
        </w:rPr>
        <w:t>Over this period</w:t>
      </w:r>
      <w:r w:rsidR="00F008B0">
        <w:rPr>
          <w:rFonts w:ascii="Noto Sans" w:eastAsia="Calibri" w:hAnsi="Noto Sans" w:cs="Noto Sans"/>
          <w:lang w:val="en-US" w:eastAsia="en-GB"/>
        </w:rPr>
        <w:t xml:space="preserve">, </w:t>
      </w:r>
      <w:r w:rsidR="00EE043D">
        <w:rPr>
          <w:rFonts w:ascii="Noto Sans" w:eastAsia="Calibri" w:hAnsi="Noto Sans" w:cs="Noto Sans"/>
          <w:lang w:val="en-US" w:eastAsia="en-GB"/>
        </w:rPr>
        <w:t>we aim to catch up on overdue planned component replacement works</w:t>
      </w:r>
      <w:r w:rsidR="00CF4C1D">
        <w:rPr>
          <w:rFonts w:ascii="Noto Sans" w:eastAsia="Calibri" w:hAnsi="Noto Sans" w:cs="Noto Sans"/>
          <w:lang w:val="en-US" w:eastAsia="en-GB"/>
        </w:rPr>
        <w:t xml:space="preserve"> whilst also delivering our target for bringing all homes up to at least Energy Performance Band C by 2030.</w:t>
      </w:r>
      <w:r w:rsidR="00B00833">
        <w:rPr>
          <w:rFonts w:ascii="Noto Sans" w:eastAsia="Calibri" w:hAnsi="Noto Sans" w:cs="Noto Sans"/>
          <w:lang w:val="en-US" w:eastAsia="en-GB"/>
        </w:rPr>
        <w:t xml:space="preserve"> </w:t>
      </w:r>
    </w:p>
    <w:p w14:paraId="546E36B3" w14:textId="2FE6AB8C" w:rsidR="00C67FCA" w:rsidRDefault="005D045C" w:rsidP="00B87900">
      <w:pPr>
        <w:spacing w:after="120" w:line="259" w:lineRule="auto"/>
        <w:rPr>
          <w:rFonts w:ascii="Noto Sans" w:eastAsia="Calibri" w:hAnsi="Noto Sans" w:cs="Noto Sans"/>
          <w:lang w:val="en-US" w:eastAsia="en-GB"/>
        </w:rPr>
      </w:pPr>
      <w:r w:rsidRPr="005D045C">
        <w:rPr>
          <w:rFonts w:ascii="Noto Sans" w:eastAsia="Calibri" w:hAnsi="Noto Sans" w:cs="Noto Sans"/>
          <w:lang w:val="en-US" w:eastAsia="en-GB"/>
        </w:rPr>
        <w:t xml:space="preserve">The headlines of our five-year capital </w:t>
      </w:r>
      <w:proofErr w:type="spellStart"/>
      <w:r w:rsidRPr="005D045C">
        <w:rPr>
          <w:rFonts w:ascii="Noto Sans" w:eastAsia="Calibri" w:hAnsi="Noto Sans" w:cs="Noto Sans"/>
          <w:lang w:val="en-US" w:eastAsia="en-GB"/>
        </w:rPr>
        <w:t>programme</w:t>
      </w:r>
      <w:proofErr w:type="spellEnd"/>
      <w:r w:rsidRPr="005D045C">
        <w:rPr>
          <w:rFonts w:ascii="Noto Sans" w:eastAsia="Calibri" w:hAnsi="Noto Sans" w:cs="Noto Sans"/>
          <w:lang w:val="en-US" w:eastAsia="en-GB"/>
        </w:rPr>
        <w:t xml:space="preserve"> are that it will see us spending over £</w:t>
      </w:r>
      <w:r w:rsidR="000B1302">
        <w:rPr>
          <w:rFonts w:ascii="Noto Sans" w:eastAsia="Calibri" w:hAnsi="Noto Sans" w:cs="Noto Sans"/>
          <w:lang w:val="en-US" w:eastAsia="en-GB"/>
        </w:rPr>
        <w:t>1</w:t>
      </w:r>
      <w:r w:rsidR="00B33B33">
        <w:rPr>
          <w:rFonts w:ascii="Noto Sans" w:eastAsia="Calibri" w:hAnsi="Noto Sans" w:cs="Noto Sans"/>
          <w:lang w:val="en-US" w:eastAsia="en-GB"/>
        </w:rPr>
        <w:t>76</w:t>
      </w:r>
      <w:r w:rsidR="000B1302" w:rsidRPr="005D045C">
        <w:rPr>
          <w:rFonts w:ascii="Noto Sans" w:eastAsia="Calibri" w:hAnsi="Noto Sans" w:cs="Noto Sans"/>
          <w:lang w:val="en-US" w:eastAsia="en-GB"/>
        </w:rPr>
        <w:t>m</w:t>
      </w:r>
      <w:r w:rsidRPr="005D045C">
        <w:rPr>
          <w:rFonts w:ascii="Noto Sans" w:eastAsia="Calibri" w:hAnsi="Noto Sans" w:cs="Noto Sans"/>
          <w:lang w:val="en-US" w:eastAsia="en-GB"/>
        </w:rPr>
        <w:t xml:space="preserve">, with expenditure of </w:t>
      </w:r>
      <w:r w:rsidR="00B33B33">
        <w:rPr>
          <w:rFonts w:ascii="Noto Sans" w:eastAsia="Calibri" w:hAnsi="Noto Sans" w:cs="Noto Sans"/>
          <w:lang w:val="en-US" w:eastAsia="en-GB"/>
        </w:rPr>
        <w:t>between around £25</w:t>
      </w:r>
      <w:r w:rsidR="000C56C0">
        <w:rPr>
          <w:rFonts w:ascii="Noto Sans" w:eastAsia="Calibri" w:hAnsi="Noto Sans" w:cs="Noto Sans"/>
          <w:lang w:val="en-US" w:eastAsia="en-GB"/>
        </w:rPr>
        <w:t>m to £38</w:t>
      </w:r>
      <w:r w:rsidRPr="005D045C">
        <w:rPr>
          <w:rFonts w:ascii="Noto Sans" w:eastAsia="Calibri" w:hAnsi="Noto Sans" w:cs="Noto Sans"/>
          <w:lang w:val="en-US" w:eastAsia="en-GB"/>
        </w:rPr>
        <w:t xml:space="preserve">m a year from 2024/25 to </w:t>
      </w:r>
      <w:r w:rsidR="000B1302" w:rsidRPr="005D045C">
        <w:rPr>
          <w:rFonts w:ascii="Noto Sans" w:eastAsia="Calibri" w:hAnsi="Noto Sans" w:cs="Noto Sans"/>
          <w:lang w:val="en-US" w:eastAsia="en-GB"/>
        </w:rPr>
        <w:t>202</w:t>
      </w:r>
      <w:r w:rsidR="000B1302">
        <w:rPr>
          <w:rFonts w:ascii="Noto Sans" w:eastAsia="Calibri" w:hAnsi="Noto Sans" w:cs="Noto Sans"/>
          <w:lang w:val="en-US" w:eastAsia="en-GB"/>
        </w:rPr>
        <w:t>8</w:t>
      </w:r>
      <w:r w:rsidRPr="005D045C">
        <w:rPr>
          <w:rFonts w:ascii="Noto Sans" w:eastAsia="Calibri" w:hAnsi="Noto Sans" w:cs="Noto Sans"/>
          <w:lang w:val="en-US" w:eastAsia="en-GB"/>
        </w:rPr>
        <w:t>/</w:t>
      </w:r>
      <w:r w:rsidR="000B1302" w:rsidRPr="005D045C">
        <w:rPr>
          <w:rFonts w:ascii="Noto Sans" w:eastAsia="Calibri" w:hAnsi="Noto Sans" w:cs="Noto Sans"/>
          <w:lang w:val="en-US" w:eastAsia="en-GB"/>
        </w:rPr>
        <w:t>2</w:t>
      </w:r>
      <w:r w:rsidR="000B1302">
        <w:rPr>
          <w:rFonts w:ascii="Noto Sans" w:eastAsia="Calibri" w:hAnsi="Noto Sans" w:cs="Noto Sans"/>
          <w:lang w:val="en-US" w:eastAsia="en-GB"/>
        </w:rPr>
        <w:t>9</w:t>
      </w:r>
      <w:r w:rsidRPr="005D045C">
        <w:rPr>
          <w:rFonts w:ascii="Noto Sans" w:eastAsia="Calibri" w:hAnsi="Noto Sans" w:cs="Noto Sans"/>
          <w:lang w:val="en-US" w:eastAsia="en-GB"/>
        </w:rPr>
        <w:t>. Just over half (</w:t>
      </w:r>
      <w:r w:rsidR="00B33B33">
        <w:rPr>
          <w:rFonts w:ascii="Noto Sans" w:eastAsia="Calibri" w:hAnsi="Noto Sans" w:cs="Noto Sans"/>
          <w:lang w:val="en-US" w:eastAsia="en-GB"/>
        </w:rPr>
        <w:t>77</w:t>
      </w:r>
      <w:r w:rsidRPr="005D045C">
        <w:rPr>
          <w:rFonts w:ascii="Noto Sans" w:eastAsia="Calibri" w:hAnsi="Noto Sans" w:cs="Noto Sans"/>
          <w:lang w:val="en-US" w:eastAsia="en-GB"/>
        </w:rPr>
        <w:t>%) of our expenditure will be on capital investment works in replacing and renewing building components,</w:t>
      </w:r>
      <w:r w:rsidR="000A1B32">
        <w:rPr>
          <w:rFonts w:ascii="Noto Sans" w:eastAsia="Calibri" w:hAnsi="Noto Sans" w:cs="Noto Sans"/>
          <w:lang w:val="en-US" w:eastAsia="en-GB"/>
        </w:rPr>
        <w:t xml:space="preserve"> around</w:t>
      </w:r>
      <w:r w:rsidRPr="00FD24EB">
        <w:rPr>
          <w:rFonts w:ascii="Noto Sans" w:eastAsia="Calibri" w:hAnsi="Noto Sans" w:cs="Noto Sans"/>
          <w:lang w:val="en-US" w:eastAsia="en-GB"/>
        </w:rPr>
        <w:t xml:space="preserve"> </w:t>
      </w:r>
      <w:r w:rsidR="000A1B32" w:rsidRPr="000A1B32">
        <w:rPr>
          <w:rFonts w:ascii="Noto Sans" w:eastAsia="Calibri" w:hAnsi="Noto Sans" w:cs="Noto Sans"/>
          <w:lang w:val="en-US" w:eastAsia="en-GB"/>
        </w:rPr>
        <w:t xml:space="preserve">16% on our energy efficiency and </w:t>
      </w:r>
      <w:proofErr w:type="spellStart"/>
      <w:r w:rsidR="000A1B32" w:rsidRPr="000A1B32">
        <w:rPr>
          <w:rFonts w:ascii="Noto Sans" w:eastAsia="Calibri" w:hAnsi="Noto Sans" w:cs="Noto Sans"/>
          <w:lang w:val="en-US" w:eastAsia="en-GB"/>
        </w:rPr>
        <w:t>decarbonisation</w:t>
      </w:r>
      <w:proofErr w:type="spellEnd"/>
      <w:r w:rsidR="000A1B32" w:rsidRPr="000A1B32">
        <w:rPr>
          <w:rFonts w:ascii="Noto Sans" w:eastAsia="Calibri" w:hAnsi="Noto Sans" w:cs="Noto Sans"/>
          <w:lang w:val="en-US" w:eastAsia="en-GB"/>
        </w:rPr>
        <w:t xml:space="preserve"> works</w:t>
      </w:r>
      <w:r w:rsidR="000A1B32">
        <w:rPr>
          <w:rFonts w:ascii="Noto Sans" w:eastAsia="Calibri" w:hAnsi="Noto Sans" w:cs="Noto Sans"/>
          <w:lang w:val="en-US" w:eastAsia="en-GB"/>
        </w:rPr>
        <w:t>, around</w:t>
      </w:r>
      <w:r w:rsidR="000A1B32" w:rsidRPr="000A1B32">
        <w:rPr>
          <w:rFonts w:ascii="Noto Sans" w:eastAsia="Calibri" w:hAnsi="Noto Sans" w:cs="Noto Sans"/>
          <w:lang w:val="en-US" w:eastAsia="en-GB"/>
        </w:rPr>
        <w:t xml:space="preserve"> </w:t>
      </w:r>
      <w:r w:rsidR="00576670">
        <w:rPr>
          <w:rFonts w:ascii="Noto Sans" w:eastAsia="Calibri" w:hAnsi="Noto Sans" w:cs="Noto Sans"/>
          <w:lang w:val="en-US" w:eastAsia="en-GB"/>
        </w:rPr>
        <w:t>5</w:t>
      </w:r>
      <w:r w:rsidRPr="00FD24EB">
        <w:rPr>
          <w:rFonts w:ascii="Noto Sans" w:eastAsia="Calibri" w:hAnsi="Noto Sans" w:cs="Noto Sans"/>
          <w:lang w:val="en-US" w:eastAsia="en-GB"/>
        </w:rPr>
        <w:t xml:space="preserve">% on </w:t>
      </w:r>
      <w:r w:rsidRPr="00FD24EB">
        <w:rPr>
          <w:rFonts w:ascii="Noto Sans" w:eastAsia="Calibri" w:hAnsi="Noto Sans" w:cs="Noto Sans"/>
          <w:lang w:val="en-US" w:eastAsia="en-GB"/>
        </w:rPr>
        <w:lastRenderedPageBreak/>
        <w:t>building safety and compliance works, and</w:t>
      </w:r>
      <w:r w:rsidR="000A1B32">
        <w:rPr>
          <w:rFonts w:ascii="Noto Sans" w:eastAsia="Calibri" w:hAnsi="Noto Sans" w:cs="Noto Sans"/>
          <w:lang w:val="en-US" w:eastAsia="en-GB"/>
        </w:rPr>
        <w:t xml:space="preserve"> around 2% on provided disabled adaptations</w:t>
      </w:r>
      <w:r w:rsidRPr="005D045C">
        <w:rPr>
          <w:rFonts w:ascii="Noto Sans" w:eastAsia="Calibri" w:hAnsi="Noto Sans" w:cs="Noto Sans"/>
          <w:lang w:val="en-US" w:eastAsia="en-GB"/>
        </w:rPr>
        <w:t>.</w:t>
      </w:r>
      <w:bookmarkStart w:id="1" w:name="_Hlk175063162"/>
    </w:p>
    <w:p w14:paraId="52DE2596" w14:textId="77777777" w:rsidR="00B87900" w:rsidRDefault="00B87900" w:rsidP="00B87900">
      <w:pPr>
        <w:spacing w:after="120" w:line="259" w:lineRule="auto"/>
        <w:rPr>
          <w:rFonts w:ascii="Noto Sans" w:eastAsia="Calibri" w:hAnsi="Noto Sans" w:cs="Noto Sans"/>
          <w:lang w:val="en-US" w:eastAsia="en-GB"/>
        </w:rPr>
      </w:pPr>
    </w:p>
    <w:tbl>
      <w:tblPr>
        <w:tblStyle w:val="GridTable1Light-Accent3"/>
        <w:tblW w:w="9024" w:type="dxa"/>
        <w:tblLook w:val="04A0" w:firstRow="1" w:lastRow="0" w:firstColumn="1" w:lastColumn="0" w:noHBand="0" w:noVBand="1"/>
      </w:tblPr>
      <w:tblGrid>
        <w:gridCol w:w="2948"/>
        <w:gridCol w:w="1196"/>
        <w:gridCol w:w="956"/>
        <w:gridCol w:w="956"/>
        <w:gridCol w:w="956"/>
        <w:gridCol w:w="956"/>
        <w:gridCol w:w="1056"/>
      </w:tblGrid>
      <w:tr w:rsidR="004375FB" w:rsidRPr="004375FB" w14:paraId="11279DDE" w14:textId="77777777" w:rsidTr="004375F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024" w:type="dxa"/>
            <w:gridSpan w:val="7"/>
            <w:shd w:val="clear" w:color="auto" w:fill="0070C0" w:themeFill="accent1"/>
          </w:tcPr>
          <w:p w14:paraId="7754F428" w14:textId="50A83526" w:rsidR="004375FB" w:rsidRPr="004375FB" w:rsidRDefault="004375FB" w:rsidP="00364D60">
            <w:pPr>
              <w:jc w:val="center"/>
              <w:rPr>
                <w:rFonts w:ascii="Aptos Narrow" w:eastAsia="Times New Roman" w:hAnsi="Aptos Narrow" w:cs="Times New Roman"/>
                <w:color w:val="FFFFFF" w:themeColor="background1"/>
                <w:lang w:eastAsia="en-GB"/>
              </w:rPr>
            </w:pPr>
            <w:r w:rsidRPr="004375FB">
              <w:rPr>
                <w:rFonts w:ascii="Aptos Narrow" w:eastAsia="Times New Roman" w:hAnsi="Aptos Narrow" w:cs="Times New Roman"/>
                <w:color w:val="FFFFFF" w:themeColor="background1"/>
                <w:lang w:eastAsia="en-GB"/>
              </w:rPr>
              <w:t>Major works expenditure over first five years (at outturn)</w:t>
            </w:r>
          </w:p>
        </w:tc>
      </w:tr>
      <w:tr w:rsidR="00364D60" w:rsidRPr="00364D60" w14:paraId="1AB7E8B8"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vMerge w:val="restart"/>
            <w:hideMark/>
          </w:tcPr>
          <w:p w14:paraId="51F258E1" w14:textId="77777777" w:rsidR="00364D60" w:rsidRPr="00364D60" w:rsidRDefault="00364D60" w:rsidP="00364D60">
            <w:pPr>
              <w:jc w:val="cente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Major Works                    Expenditure</w:t>
            </w:r>
          </w:p>
        </w:tc>
        <w:tc>
          <w:tcPr>
            <w:tcW w:w="1196" w:type="dxa"/>
            <w:hideMark/>
          </w:tcPr>
          <w:p w14:paraId="5948824F"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2024.25</w:t>
            </w:r>
          </w:p>
        </w:tc>
        <w:tc>
          <w:tcPr>
            <w:tcW w:w="956" w:type="dxa"/>
            <w:hideMark/>
          </w:tcPr>
          <w:p w14:paraId="4DBBF0FB"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2025.26</w:t>
            </w:r>
          </w:p>
        </w:tc>
        <w:tc>
          <w:tcPr>
            <w:tcW w:w="956" w:type="dxa"/>
            <w:hideMark/>
          </w:tcPr>
          <w:p w14:paraId="3E18B6AF"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2026.27</w:t>
            </w:r>
          </w:p>
        </w:tc>
        <w:tc>
          <w:tcPr>
            <w:tcW w:w="956" w:type="dxa"/>
            <w:hideMark/>
          </w:tcPr>
          <w:p w14:paraId="552527D2"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2027.28</w:t>
            </w:r>
          </w:p>
        </w:tc>
        <w:tc>
          <w:tcPr>
            <w:tcW w:w="956" w:type="dxa"/>
            <w:hideMark/>
          </w:tcPr>
          <w:p w14:paraId="0D7591BD"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2028.29</w:t>
            </w:r>
          </w:p>
        </w:tc>
        <w:tc>
          <w:tcPr>
            <w:tcW w:w="1056" w:type="dxa"/>
            <w:hideMark/>
          </w:tcPr>
          <w:p w14:paraId="7264A91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Total</w:t>
            </w:r>
          </w:p>
        </w:tc>
      </w:tr>
      <w:tr w:rsidR="00364D60" w:rsidRPr="00364D60" w14:paraId="54A0F6F3"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vMerge/>
            <w:hideMark/>
          </w:tcPr>
          <w:p w14:paraId="1C679D02" w14:textId="77777777" w:rsidR="00364D60" w:rsidRPr="00364D60" w:rsidRDefault="00364D60" w:rsidP="00364D60">
            <w:pPr>
              <w:rPr>
                <w:rFonts w:ascii="Aptos Narrow" w:eastAsia="Times New Roman" w:hAnsi="Aptos Narrow" w:cs="Times New Roman"/>
                <w:color w:val="000000"/>
                <w:sz w:val="22"/>
                <w:szCs w:val="22"/>
                <w:lang w:eastAsia="en-GB"/>
              </w:rPr>
            </w:pPr>
          </w:p>
        </w:tc>
        <w:tc>
          <w:tcPr>
            <w:tcW w:w="1196" w:type="dxa"/>
            <w:hideMark/>
          </w:tcPr>
          <w:p w14:paraId="4DFF181D"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4E4CE7D3"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77667AF1"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318761F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956" w:type="dxa"/>
            <w:hideMark/>
          </w:tcPr>
          <w:p w14:paraId="31C628A8"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c>
          <w:tcPr>
            <w:tcW w:w="1056" w:type="dxa"/>
            <w:hideMark/>
          </w:tcPr>
          <w:p w14:paraId="1A128C66" w14:textId="77777777" w:rsidR="00364D60" w:rsidRPr="00364D60" w:rsidRDefault="00364D60" w:rsidP="00364D60">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£000</w:t>
            </w:r>
          </w:p>
        </w:tc>
      </w:tr>
      <w:tr w:rsidR="00364D60" w:rsidRPr="00364D60" w14:paraId="408223E0"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E2EB692"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Major Works</w:t>
            </w:r>
          </w:p>
        </w:tc>
        <w:tc>
          <w:tcPr>
            <w:tcW w:w="1196" w:type="dxa"/>
            <w:noWrap/>
            <w:hideMark/>
          </w:tcPr>
          <w:p w14:paraId="211EE74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£26,204</w:t>
            </w:r>
          </w:p>
        </w:tc>
        <w:tc>
          <w:tcPr>
            <w:tcW w:w="956" w:type="dxa"/>
            <w:noWrap/>
            <w:hideMark/>
          </w:tcPr>
          <w:p w14:paraId="399AE895"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£25,955</w:t>
            </w:r>
          </w:p>
        </w:tc>
        <w:tc>
          <w:tcPr>
            <w:tcW w:w="956" w:type="dxa"/>
            <w:noWrap/>
            <w:hideMark/>
          </w:tcPr>
          <w:p w14:paraId="06D95D8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£29,805</w:t>
            </w:r>
          </w:p>
        </w:tc>
        <w:tc>
          <w:tcPr>
            <w:tcW w:w="956" w:type="dxa"/>
            <w:noWrap/>
            <w:hideMark/>
          </w:tcPr>
          <w:p w14:paraId="5BE666E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£29,420</w:t>
            </w:r>
          </w:p>
        </w:tc>
        <w:tc>
          <w:tcPr>
            <w:tcW w:w="956" w:type="dxa"/>
            <w:noWrap/>
            <w:hideMark/>
          </w:tcPr>
          <w:p w14:paraId="31076C3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£24,961</w:t>
            </w:r>
          </w:p>
        </w:tc>
        <w:tc>
          <w:tcPr>
            <w:tcW w:w="1056" w:type="dxa"/>
            <w:noWrap/>
            <w:hideMark/>
          </w:tcPr>
          <w:p w14:paraId="04D0275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£136,345</w:t>
            </w:r>
          </w:p>
        </w:tc>
      </w:tr>
      <w:tr w:rsidR="00364D60" w:rsidRPr="00364D60" w14:paraId="4770C473"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5BA71819"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Decarbonisation</w:t>
            </w:r>
          </w:p>
        </w:tc>
        <w:tc>
          <w:tcPr>
            <w:tcW w:w="1196" w:type="dxa"/>
            <w:noWrap/>
            <w:hideMark/>
          </w:tcPr>
          <w:p w14:paraId="34545B1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£7,450</w:t>
            </w:r>
          </w:p>
        </w:tc>
        <w:tc>
          <w:tcPr>
            <w:tcW w:w="956" w:type="dxa"/>
            <w:noWrap/>
            <w:hideMark/>
          </w:tcPr>
          <w:p w14:paraId="23382DD2"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£6,750</w:t>
            </w:r>
          </w:p>
        </w:tc>
        <w:tc>
          <w:tcPr>
            <w:tcW w:w="956" w:type="dxa"/>
            <w:noWrap/>
            <w:hideMark/>
          </w:tcPr>
          <w:p w14:paraId="3D42934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£6,546</w:t>
            </w:r>
          </w:p>
        </w:tc>
        <w:tc>
          <w:tcPr>
            <w:tcW w:w="956" w:type="dxa"/>
            <w:noWrap/>
            <w:hideMark/>
          </w:tcPr>
          <w:p w14:paraId="3E19CBC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£6,743</w:t>
            </w:r>
          </w:p>
        </w:tc>
        <w:tc>
          <w:tcPr>
            <w:tcW w:w="956" w:type="dxa"/>
            <w:noWrap/>
            <w:hideMark/>
          </w:tcPr>
          <w:p w14:paraId="7EABBD8D"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£0</w:t>
            </w:r>
          </w:p>
        </w:tc>
        <w:tc>
          <w:tcPr>
            <w:tcW w:w="1056" w:type="dxa"/>
            <w:noWrap/>
            <w:hideMark/>
          </w:tcPr>
          <w:p w14:paraId="1D93BAC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£27,489</w:t>
            </w:r>
          </w:p>
        </w:tc>
      </w:tr>
      <w:tr w:rsidR="00364D60" w:rsidRPr="00364D60" w14:paraId="6FBC93E9"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4C2D420C"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Disabled Adaptations</w:t>
            </w:r>
          </w:p>
        </w:tc>
        <w:tc>
          <w:tcPr>
            <w:tcW w:w="1196" w:type="dxa"/>
            <w:noWrap/>
            <w:hideMark/>
          </w:tcPr>
          <w:p w14:paraId="7F4BB12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£800</w:t>
            </w:r>
          </w:p>
        </w:tc>
        <w:tc>
          <w:tcPr>
            <w:tcW w:w="956" w:type="dxa"/>
            <w:noWrap/>
            <w:hideMark/>
          </w:tcPr>
          <w:p w14:paraId="15D738F9"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£750</w:t>
            </w:r>
          </w:p>
        </w:tc>
        <w:tc>
          <w:tcPr>
            <w:tcW w:w="956" w:type="dxa"/>
            <w:noWrap/>
            <w:hideMark/>
          </w:tcPr>
          <w:p w14:paraId="7CB1773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£673</w:t>
            </w:r>
          </w:p>
        </w:tc>
        <w:tc>
          <w:tcPr>
            <w:tcW w:w="956" w:type="dxa"/>
            <w:noWrap/>
            <w:hideMark/>
          </w:tcPr>
          <w:p w14:paraId="3F37026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£693</w:t>
            </w:r>
          </w:p>
        </w:tc>
        <w:tc>
          <w:tcPr>
            <w:tcW w:w="956" w:type="dxa"/>
            <w:noWrap/>
            <w:hideMark/>
          </w:tcPr>
          <w:p w14:paraId="3C64BEE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£714</w:t>
            </w:r>
          </w:p>
        </w:tc>
        <w:tc>
          <w:tcPr>
            <w:tcW w:w="1056" w:type="dxa"/>
            <w:noWrap/>
            <w:hideMark/>
          </w:tcPr>
          <w:p w14:paraId="7FFB88D0"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£3,629</w:t>
            </w:r>
          </w:p>
        </w:tc>
      </w:tr>
      <w:tr w:rsidR="00364D60" w:rsidRPr="00364D60" w14:paraId="3EE01F25" w14:textId="77777777" w:rsidTr="004375FB">
        <w:trPr>
          <w:trHeight w:val="29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08357B1"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Compliance Costs</w:t>
            </w:r>
          </w:p>
        </w:tc>
        <w:tc>
          <w:tcPr>
            <w:tcW w:w="1196" w:type="dxa"/>
            <w:noWrap/>
            <w:hideMark/>
          </w:tcPr>
          <w:p w14:paraId="39C7F97E"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£3,075</w:t>
            </w:r>
          </w:p>
        </w:tc>
        <w:tc>
          <w:tcPr>
            <w:tcW w:w="956" w:type="dxa"/>
            <w:noWrap/>
            <w:hideMark/>
          </w:tcPr>
          <w:p w14:paraId="47BB2898"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£2,575</w:t>
            </w:r>
          </w:p>
        </w:tc>
        <w:tc>
          <w:tcPr>
            <w:tcW w:w="956" w:type="dxa"/>
            <w:noWrap/>
            <w:hideMark/>
          </w:tcPr>
          <w:p w14:paraId="7211368B"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£1,630</w:t>
            </w:r>
          </w:p>
        </w:tc>
        <w:tc>
          <w:tcPr>
            <w:tcW w:w="956" w:type="dxa"/>
            <w:noWrap/>
            <w:hideMark/>
          </w:tcPr>
          <w:p w14:paraId="19665ED8"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£1,679</w:t>
            </w:r>
          </w:p>
        </w:tc>
        <w:tc>
          <w:tcPr>
            <w:tcW w:w="956" w:type="dxa"/>
            <w:noWrap/>
            <w:hideMark/>
          </w:tcPr>
          <w:p w14:paraId="07515120"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£82</w:t>
            </w:r>
          </w:p>
        </w:tc>
        <w:tc>
          <w:tcPr>
            <w:tcW w:w="1056" w:type="dxa"/>
            <w:noWrap/>
            <w:hideMark/>
          </w:tcPr>
          <w:p w14:paraId="55A1E522"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£9,041</w:t>
            </w:r>
          </w:p>
        </w:tc>
      </w:tr>
      <w:tr w:rsidR="00364D60" w:rsidRPr="00364D60" w14:paraId="1E22C529" w14:textId="77777777" w:rsidTr="004375FB">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717A775" w14:textId="77777777" w:rsidR="00364D60" w:rsidRPr="00364D60" w:rsidRDefault="00364D60" w:rsidP="00364D60">
            <w:pPr>
              <w:rPr>
                <w:rFonts w:ascii="Aptos Narrow" w:eastAsia="Times New Roman" w:hAnsi="Aptos Narrow" w:cs="Times New Roman"/>
                <w:color w:val="000000"/>
                <w:sz w:val="22"/>
                <w:szCs w:val="22"/>
                <w:lang w:eastAsia="en-GB"/>
              </w:rPr>
            </w:pPr>
            <w:r w:rsidRPr="00364D60">
              <w:rPr>
                <w:rFonts w:ascii="Aptos Narrow" w:eastAsia="Times New Roman" w:hAnsi="Aptos Narrow" w:cs="Times New Roman"/>
                <w:color w:val="000000"/>
                <w:sz w:val="22"/>
                <w:szCs w:val="22"/>
                <w:lang w:eastAsia="en-GB"/>
              </w:rPr>
              <w:t>Total</w:t>
            </w:r>
          </w:p>
        </w:tc>
        <w:tc>
          <w:tcPr>
            <w:tcW w:w="1196" w:type="dxa"/>
            <w:noWrap/>
            <w:hideMark/>
          </w:tcPr>
          <w:p w14:paraId="2180054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£37,529</w:t>
            </w:r>
          </w:p>
        </w:tc>
        <w:tc>
          <w:tcPr>
            <w:tcW w:w="956" w:type="dxa"/>
            <w:noWrap/>
            <w:hideMark/>
          </w:tcPr>
          <w:p w14:paraId="4756489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£36,030</w:t>
            </w:r>
          </w:p>
        </w:tc>
        <w:tc>
          <w:tcPr>
            <w:tcW w:w="956" w:type="dxa"/>
            <w:noWrap/>
            <w:hideMark/>
          </w:tcPr>
          <w:p w14:paraId="542C52C6"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£38,654</w:t>
            </w:r>
          </w:p>
        </w:tc>
        <w:tc>
          <w:tcPr>
            <w:tcW w:w="956" w:type="dxa"/>
            <w:noWrap/>
            <w:hideMark/>
          </w:tcPr>
          <w:p w14:paraId="4370686C"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£38,534</w:t>
            </w:r>
          </w:p>
        </w:tc>
        <w:tc>
          <w:tcPr>
            <w:tcW w:w="956" w:type="dxa"/>
            <w:noWrap/>
            <w:hideMark/>
          </w:tcPr>
          <w:p w14:paraId="4A62BFB1"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£25,757</w:t>
            </w:r>
          </w:p>
        </w:tc>
        <w:tc>
          <w:tcPr>
            <w:tcW w:w="1056" w:type="dxa"/>
            <w:noWrap/>
            <w:hideMark/>
          </w:tcPr>
          <w:p w14:paraId="4960B594" w14:textId="77777777" w:rsidR="00364D60" w:rsidRPr="00364D60" w:rsidRDefault="00364D60" w:rsidP="00364D60">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64D60">
              <w:rPr>
                <w:rFonts w:ascii="Aptos Narrow" w:eastAsia="Times New Roman" w:hAnsi="Aptos Narrow" w:cs="Times New Roman"/>
                <w:b/>
                <w:bCs/>
                <w:color w:val="000000"/>
                <w:sz w:val="22"/>
                <w:szCs w:val="22"/>
                <w:lang w:eastAsia="en-GB"/>
              </w:rPr>
              <w:t>£176,504</w:t>
            </w:r>
          </w:p>
        </w:tc>
      </w:tr>
    </w:tbl>
    <w:p w14:paraId="3775A24E" w14:textId="77777777" w:rsidR="003A1D2F" w:rsidRDefault="003A1D2F">
      <w:pPr>
        <w:rPr>
          <w:rFonts w:ascii="Noto Sans" w:eastAsia="Calibri" w:hAnsi="Noto Sans" w:cs="Noto Sans"/>
          <w:b/>
          <w:bCs/>
          <w:color w:val="0070C0" w:themeColor="accent1"/>
          <w:sz w:val="36"/>
          <w:szCs w:val="36"/>
          <w:lang w:val="en-US" w:eastAsia="en-GB"/>
        </w:rPr>
      </w:pPr>
    </w:p>
    <w:p w14:paraId="11EAEE83" w14:textId="3CEAC7BD" w:rsidR="000A1B32" w:rsidRDefault="000A1B32">
      <w:pPr>
        <w:rPr>
          <w:rFonts w:ascii="Noto Sans" w:eastAsia="Calibri" w:hAnsi="Noto Sans" w:cs="Noto Sans"/>
          <w:b/>
          <w:bCs/>
          <w:color w:val="0070C0" w:themeColor="accent1"/>
          <w:sz w:val="36"/>
          <w:szCs w:val="36"/>
          <w:lang w:val="en-US" w:eastAsia="en-GB"/>
        </w:rPr>
      </w:pPr>
      <w:r>
        <w:rPr>
          <w:noProof/>
        </w:rPr>
        <w:drawing>
          <wp:inline distT="0" distB="0" distL="0" distR="0" wp14:anchorId="15FD716F" wp14:editId="36F5711D">
            <wp:extent cx="4572000" cy="2743200"/>
            <wp:effectExtent l="0" t="0" r="0" b="0"/>
            <wp:docPr id="1154758229" name="Chart 1">
              <a:extLst xmlns:a="http://schemas.openxmlformats.org/drawingml/2006/main">
                <a:ext uri="{FF2B5EF4-FFF2-40B4-BE49-F238E27FC236}">
                  <a16:creationId xmlns:a16="http://schemas.microsoft.com/office/drawing/2014/main" id="{700FC9A8-4D0E-F510-22AA-E683BB3D8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8A1995" w14:textId="77777777" w:rsidR="00C1749F" w:rsidRDefault="00C1749F">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48977FB8" w14:textId="54D0C7B4" w:rsidR="000C23B4" w:rsidRPr="00E05588" w:rsidRDefault="000C23B4"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lastRenderedPageBreak/>
        <w:t>Building new homes</w:t>
      </w:r>
    </w:p>
    <w:bookmarkEnd w:id="1"/>
    <w:p w14:paraId="770B966C" w14:textId="77777777" w:rsidR="000C23B4" w:rsidRDefault="000C23B4" w:rsidP="000C23B4">
      <w:pPr>
        <w:ind w:left="-76"/>
        <w:rPr>
          <w:rFonts w:ascii="Noto Sans" w:eastAsia="Calibri" w:hAnsi="Noto Sans" w:cs="Noto Sans"/>
          <w:lang w:val="en-US" w:eastAsia="en-GB"/>
        </w:rPr>
      </w:pPr>
    </w:p>
    <w:p w14:paraId="32492CFB" w14:textId="11F1542C" w:rsidR="003359E3" w:rsidRPr="009C03BC" w:rsidRDefault="00DB4822" w:rsidP="002154BD">
      <w:pPr>
        <w:spacing w:after="120" w:line="259" w:lineRule="auto"/>
        <w:rPr>
          <w:rFonts w:ascii="Noto Sans" w:eastAsia="Calibri" w:hAnsi="Noto Sans" w:cs="Noto Sans"/>
          <w:b/>
          <w:bCs/>
          <w:lang w:val="en-US" w:eastAsia="en-GB"/>
        </w:rPr>
      </w:pPr>
      <w:r w:rsidRPr="009C03BC">
        <w:rPr>
          <w:rFonts w:ascii="Noto Sans" w:eastAsia="Calibri" w:hAnsi="Noto Sans" w:cs="Noto Sans"/>
          <w:b/>
          <w:bCs/>
          <w:lang w:val="en-US" w:eastAsia="en-GB"/>
        </w:rPr>
        <w:t>Oxford has long been one of the least affordable places to live in the UK, with a chronic housing shortage reflected in a waiting list of over 3,000 people for council houses.</w:t>
      </w:r>
      <w:r w:rsidR="00E045C7" w:rsidRPr="009C03BC">
        <w:rPr>
          <w:rFonts w:ascii="Noto Sans" w:eastAsia="Calibri" w:hAnsi="Noto Sans" w:cs="Noto Sans"/>
          <w:b/>
          <w:bCs/>
          <w:lang w:val="en-US" w:eastAsia="en-GB"/>
        </w:rPr>
        <w:t xml:space="preserve"> </w:t>
      </w:r>
      <w:r w:rsidR="007B0DAD" w:rsidRPr="009C03BC">
        <w:rPr>
          <w:rFonts w:ascii="Noto Sans" w:eastAsia="Calibri" w:hAnsi="Noto Sans" w:cs="Noto Sans"/>
          <w:b/>
          <w:bCs/>
          <w:lang w:val="en-US" w:eastAsia="en-GB"/>
        </w:rPr>
        <w:t xml:space="preserve">The insufficient supply of homes </w:t>
      </w:r>
      <w:r w:rsidR="00E045C7" w:rsidRPr="009C03BC">
        <w:rPr>
          <w:rFonts w:ascii="Noto Sans" w:eastAsia="Calibri" w:hAnsi="Noto Sans" w:cs="Noto Sans"/>
          <w:b/>
          <w:bCs/>
          <w:lang w:val="en-US" w:eastAsia="en-GB"/>
        </w:rPr>
        <w:t>for</w:t>
      </w:r>
      <w:r w:rsidR="007B0DAD" w:rsidRPr="009C03BC">
        <w:rPr>
          <w:rFonts w:ascii="Noto Sans" w:eastAsia="Calibri" w:hAnsi="Noto Sans" w:cs="Noto Sans"/>
          <w:b/>
          <w:bCs/>
          <w:lang w:val="en-US" w:eastAsia="en-GB"/>
        </w:rPr>
        <w:t xml:space="preserve"> those who need them and the challenges of affordability in the city </w:t>
      </w:r>
      <w:r w:rsidR="0096057A" w:rsidRPr="009C03BC">
        <w:rPr>
          <w:rFonts w:ascii="Noto Sans" w:eastAsia="Calibri" w:hAnsi="Noto Sans" w:cs="Noto Sans"/>
          <w:b/>
          <w:bCs/>
          <w:lang w:val="en-US" w:eastAsia="en-GB"/>
        </w:rPr>
        <w:t xml:space="preserve">means we have placed </w:t>
      </w:r>
      <w:r w:rsidR="003359E3" w:rsidRPr="009C03BC">
        <w:rPr>
          <w:rFonts w:ascii="Noto Sans" w:eastAsia="Calibri" w:hAnsi="Noto Sans" w:cs="Noto Sans"/>
          <w:b/>
          <w:bCs/>
          <w:lang w:val="en-US" w:eastAsia="en-GB"/>
        </w:rPr>
        <w:t>a high priority on</w:t>
      </w:r>
      <w:r w:rsidR="00A5283E" w:rsidRPr="009C03BC">
        <w:rPr>
          <w:rFonts w:ascii="Noto Sans" w:eastAsia="Calibri" w:hAnsi="Noto Sans" w:cs="Noto Sans"/>
          <w:b/>
          <w:bCs/>
          <w:lang w:val="en-US" w:eastAsia="en-GB"/>
        </w:rPr>
        <w:t xml:space="preserve"> </w:t>
      </w:r>
      <w:r w:rsidR="00C34DF1" w:rsidRPr="009C03BC">
        <w:rPr>
          <w:rFonts w:ascii="Noto Sans" w:eastAsia="Calibri" w:hAnsi="Noto Sans" w:cs="Noto Sans"/>
          <w:b/>
          <w:bCs/>
          <w:lang w:val="en-US" w:eastAsia="en-GB"/>
        </w:rPr>
        <w:t>deliver</w:t>
      </w:r>
      <w:r w:rsidR="003359E3" w:rsidRPr="009C03BC">
        <w:rPr>
          <w:rFonts w:ascii="Noto Sans" w:eastAsia="Calibri" w:hAnsi="Noto Sans" w:cs="Noto Sans"/>
          <w:b/>
          <w:bCs/>
          <w:lang w:val="en-US" w:eastAsia="en-GB"/>
        </w:rPr>
        <w:t>ing</w:t>
      </w:r>
      <w:r w:rsidR="00C34DF1" w:rsidRPr="009C03BC">
        <w:rPr>
          <w:rFonts w:ascii="Noto Sans" w:eastAsia="Calibri" w:hAnsi="Noto Sans" w:cs="Noto Sans"/>
          <w:b/>
          <w:bCs/>
          <w:lang w:val="en-US" w:eastAsia="en-GB"/>
        </w:rPr>
        <w:t xml:space="preserve"> more genuinely affordable housing, including council housing, through our own building </w:t>
      </w:r>
      <w:proofErr w:type="spellStart"/>
      <w:r w:rsidR="00C34DF1" w:rsidRPr="009C03BC">
        <w:rPr>
          <w:rFonts w:ascii="Noto Sans" w:eastAsia="Calibri" w:hAnsi="Noto Sans" w:cs="Noto Sans"/>
          <w:b/>
          <w:bCs/>
          <w:lang w:val="en-US" w:eastAsia="en-GB"/>
        </w:rPr>
        <w:t>programmes</w:t>
      </w:r>
      <w:proofErr w:type="spellEnd"/>
      <w:r w:rsidR="003359E3" w:rsidRPr="009C03BC">
        <w:rPr>
          <w:rFonts w:ascii="Noto Sans" w:eastAsia="Calibri" w:hAnsi="Noto Sans" w:cs="Noto Sans"/>
          <w:b/>
          <w:bCs/>
          <w:lang w:val="en-US" w:eastAsia="en-GB"/>
        </w:rPr>
        <w:t>.</w:t>
      </w:r>
    </w:p>
    <w:p w14:paraId="307D2D93" w14:textId="54417508" w:rsidR="002C2040" w:rsidRDefault="00434771" w:rsidP="002154BD">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We have therefore taken a strategic decision to </w:t>
      </w:r>
      <w:proofErr w:type="spellStart"/>
      <w:r w:rsidR="00CF4C9A">
        <w:rPr>
          <w:rFonts w:ascii="Noto Sans" w:eastAsia="Calibri" w:hAnsi="Noto Sans" w:cs="Noto Sans"/>
          <w:lang w:val="en-US" w:eastAsia="en-GB"/>
        </w:rPr>
        <w:t>maximise</w:t>
      </w:r>
      <w:proofErr w:type="spellEnd"/>
      <w:r w:rsidR="00CF4C9A">
        <w:rPr>
          <w:rFonts w:ascii="Noto Sans" w:eastAsia="Calibri" w:hAnsi="Noto Sans" w:cs="Noto Sans"/>
          <w:lang w:val="en-US" w:eastAsia="en-GB"/>
        </w:rPr>
        <w:t xml:space="preserve"> the potential of the Housing </w:t>
      </w:r>
      <w:r w:rsidR="00CF4C9A" w:rsidRPr="00293DC7">
        <w:rPr>
          <w:rFonts w:ascii="Noto Sans" w:eastAsia="Calibri" w:hAnsi="Noto Sans" w:cs="Noto Sans"/>
          <w:lang w:val="en-US" w:eastAsia="en-GB"/>
        </w:rPr>
        <w:t xml:space="preserve">Revenue Account for funding a significant </w:t>
      </w:r>
      <w:r w:rsidR="003E79A0" w:rsidRPr="00293DC7">
        <w:rPr>
          <w:rFonts w:ascii="Noto Sans" w:eastAsia="Calibri" w:hAnsi="Noto Sans" w:cs="Noto Sans"/>
          <w:lang w:val="en-US" w:eastAsia="en-GB"/>
        </w:rPr>
        <w:t xml:space="preserve">new build development </w:t>
      </w:r>
      <w:proofErr w:type="spellStart"/>
      <w:r w:rsidR="00CF4C9A" w:rsidRPr="00293DC7">
        <w:rPr>
          <w:rFonts w:ascii="Noto Sans" w:eastAsia="Calibri" w:hAnsi="Noto Sans" w:cs="Noto Sans"/>
          <w:lang w:val="en-US" w:eastAsia="en-GB"/>
        </w:rPr>
        <w:t>programme</w:t>
      </w:r>
      <w:proofErr w:type="spellEnd"/>
      <w:r w:rsidR="00400976" w:rsidRPr="00293DC7">
        <w:rPr>
          <w:rFonts w:ascii="Noto Sans" w:eastAsia="Calibri" w:hAnsi="Noto Sans" w:cs="Noto Sans"/>
          <w:lang w:val="en-US" w:eastAsia="en-GB"/>
        </w:rPr>
        <w:t xml:space="preserve">. </w:t>
      </w:r>
      <w:r w:rsidR="00986709" w:rsidRPr="00986709">
        <w:rPr>
          <w:rFonts w:ascii="Noto Sans" w:eastAsia="Calibri" w:hAnsi="Noto Sans" w:cs="Noto Sans"/>
          <w:lang w:val="en-US" w:eastAsia="en-GB"/>
        </w:rPr>
        <w:t xml:space="preserve">In making this choice </w:t>
      </w:r>
      <w:r w:rsidR="00986709">
        <w:rPr>
          <w:rFonts w:ascii="Noto Sans" w:eastAsia="Calibri" w:hAnsi="Noto Sans" w:cs="Noto Sans"/>
          <w:lang w:val="en-US" w:eastAsia="en-GB"/>
        </w:rPr>
        <w:t>we need</w:t>
      </w:r>
      <w:r w:rsidR="00986709" w:rsidRPr="00986709">
        <w:rPr>
          <w:rFonts w:ascii="Noto Sans" w:eastAsia="Calibri" w:hAnsi="Noto Sans" w:cs="Noto Sans"/>
          <w:lang w:val="en-US" w:eastAsia="en-GB"/>
        </w:rPr>
        <w:t xml:space="preserve"> to ensure th</w:t>
      </w:r>
      <w:r w:rsidR="00986709">
        <w:rPr>
          <w:rFonts w:ascii="Noto Sans" w:eastAsia="Calibri" w:hAnsi="Noto Sans" w:cs="Noto Sans"/>
          <w:lang w:val="en-US" w:eastAsia="en-GB"/>
        </w:rPr>
        <w:t>e</w:t>
      </w:r>
      <w:r w:rsidR="00986709" w:rsidRPr="00986709">
        <w:rPr>
          <w:rFonts w:ascii="Noto Sans" w:eastAsia="Calibri" w:hAnsi="Noto Sans" w:cs="Noto Sans"/>
          <w:lang w:val="en-US" w:eastAsia="en-GB"/>
        </w:rPr>
        <w:t xml:space="preserve"> new build </w:t>
      </w:r>
      <w:proofErr w:type="spellStart"/>
      <w:r w:rsidR="00986709" w:rsidRPr="00986709">
        <w:rPr>
          <w:rFonts w:ascii="Noto Sans" w:eastAsia="Calibri" w:hAnsi="Noto Sans" w:cs="Noto Sans"/>
          <w:lang w:val="en-US" w:eastAsia="en-GB"/>
        </w:rPr>
        <w:t>programme</w:t>
      </w:r>
      <w:proofErr w:type="spellEnd"/>
      <w:r w:rsidR="00986709" w:rsidRPr="00986709">
        <w:rPr>
          <w:rFonts w:ascii="Noto Sans" w:eastAsia="Calibri" w:hAnsi="Noto Sans" w:cs="Noto Sans"/>
          <w:lang w:val="en-US" w:eastAsia="en-GB"/>
        </w:rPr>
        <w:t xml:space="preserve"> is affordable to the HRA and that the new homes do not require long</w:t>
      </w:r>
      <w:r w:rsidR="007B360E">
        <w:rPr>
          <w:rFonts w:ascii="Noto Sans" w:eastAsia="Calibri" w:hAnsi="Noto Sans" w:cs="Noto Sans"/>
          <w:lang w:val="en-US" w:eastAsia="en-GB"/>
        </w:rPr>
        <w:t>-</w:t>
      </w:r>
      <w:r w:rsidR="00986709" w:rsidRPr="00986709">
        <w:rPr>
          <w:rFonts w:ascii="Noto Sans" w:eastAsia="Calibri" w:hAnsi="Noto Sans" w:cs="Noto Sans"/>
          <w:lang w:val="en-US" w:eastAsia="en-GB"/>
        </w:rPr>
        <w:t xml:space="preserve">term subsidy from existing tenants. This </w:t>
      </w:r>
      <w:r w:rsidR="007B360E">
        <w:rPr>
          <w:rFonts w:ascii="Noto Sans" w:eastAsia="Calibri" w:hAnsi="Noto Sans" w:cs="Noto Sans"/>
          <w:lang w:val="en-US" w:eastAsia="en-GB"/>
        </w:rPr>
        <w:t>may mean</w:t>
      </w:r>
      <w:r w:rsidR="00986709" w:rsidRPr="00986709">
        <w:rPr>
          <w:rFonts w:ascii="Noto Sans" w:eastAsia="Calibri" w:hAnsi="Noto Sans" w:cs="Noto Sans"/>
          <w:lang w:val="en-US" w:eastAsia="en-GB"/>
        </w:rPr>
        <w:t xml:space="preserve"> mak</w:t>
      </w:r>
      <w:r w:rsidR="007B360E">
        <w:rPr>
          <w:rFonts w:ascii="Noto Sans" w:eastAsia="Calibri" w:hAnsi="Noto Sans" w:cs="Noto Sans"/>
          <w:lang w:val="en-US" w:eastAsia="en-GB"/>
        </w:rPr>
        <w:t>ing</w:t>
      </w:r>
      <w:r w:rsidR="00986709" w:rsidRPr="00986709">
        <w:rPr>
          <w:rFonts w:ascii="Noto Sans" w:eastAsia="Calibri" w:hAnsi="Noto Sans" w:cs="Noto Sans"/>
          <w:lang w:val="en-US" w:eastAsia="en-GB"/>
        </w:rPr>
        <w:t xml:space="preserve"> further choices (</w:t>
      </w:r>
      <w:r w:rsidR="000C3853" w:rsidRPr="00986709">
        <w:rPr>
          <w:rFonts w:ascii="Noto Sans" w:eastAsia="Calibri" w:hAnsi="Noto Sans" w:cs="Noto Sans"/>
          <w:lang w:val="en-US" w:eastAsia="en-GB"/>
        </w:rPr>
        <w:t>e.g.</w:t>
      </w:r>
      <w:r w:rsidR="00986709" w:rsidRPr="00986709">
        <w:rPr>
          <w:rFonts w:ascii="Noto Sans" w:eastAsia="Calibri" w:hAnsi="Noto Sans" w:cs="Noto Sans"/>
          <w:lang w:val="en-US" w:eastAsia="en-GB"/>
        </w:rPr>
        <w:t xml:space="preserve"> around tenure and build quality) to ensure </w:t>
      </w:r>
      <w:r w:rsidR="007B360E">
        <w:rPr>
          <w:rFonts w:ascii="Noto Sans" w:eastAsia="Calibri" w:hAnsi="Noto Sans" w:cs="Noto Sans"/>
          <w:lang w:val="en-US" w:eastAsia="en-GB"/>
        </w:rPr>
        <w:t>we</w:t>
      </w:r>
      <w:r w:rsidR="00986709" w:rsidRPr="00986709">
        <w:rPr>
          <w:rFonts w:ascii="Noto Sans" w:eastAsia="Calibri" w:hAnsi="Noto Sans" w:cs="Noto Sans"/>
          <w:lang w:val="en-US" w:eastAsia="en-GB"/>
        </w:rPr>
        <w:t xml:space="preserve"> only commit to financially viable developments.</w:t>
      </w:r>
    </w:p>
    <w:p w14:paraId="4E670593" w14:textId="2C65BA31" w:rsidR="003359E3" w:rsidRDefault="002C2040" w:rsidP="002154BD">
      <w:pPr>
        <w:spacing w:after="120" w:line="259" w:lineRule="auto"/>
        <w:rPr>
          <w:rFonts w:ascii="Noto Sans" w:eastAsia="Calibri" w:hAnsi="Noto Sans" w:cs="Noto Sans"/>
          <w:lang w:val="en-US" w:eastAsia="en-GB"/>
        </w:rPr>
      </w:pPr>
      <w:r>
        <w:rPr>
          <w:rFonts w:ascii="Noto Sans" w:eastAsia="Calibri" w:hAnsi="Noto Sans" w:cs="Noto Sans"/>
          <w:lang w:val="en-US" w:eastAsia="en-GB"/>
        </w:rPr>
        <w:t>As it currently stands, t</w:t>
      </w:r>
      <w:r w:rsidR="002154BD" w:rsidRPr="00293DC7">
        <w:rPr>
          <w:rFonts w:ascii="Noto Sans" w:eastAsia="Calibri" w:hAnsi="Noto Sans" w:cs="Noto Sans"/>
          <w:lang w:val="en-US" w:eastAsia="en-GB"/>
        </w:rPr>
        <w:t>he HRA Business Plan includes</w:t>
      </w:r>
      <w:r w:rsidR="00A30FB4">
        <w:rPr>
          <w:rFonts w:ascii="Noto Sans" w:eastAsia="Calibri" w:hAnsi="Noto Sans" w:cs="Noto Sans"/>
          <w:lang w:val="en-US" w:eastAsia="en-GB"/>
        </w:rPr>
        <w:t xml:space="preserve"> just under</w:t>
      </w:r>
      <w:r w:rsidR="002154BD" w:rsidRPr="00293DC7">
        <w:rPr>
          <w:rFonts w:ascii="Noto Sans" w:eastAsia="Calibri" w:hAnsi="Noto Sans" w:cs="Noto Sans"/>
          <w:lang w:val="en-US" w:eastAsia="en-GB"/>
        </w:rPr>
        <w:t xml:space="preserve"> £</w:t>
      </w:r>
      <w:r w:rsidR="003B628A">
        <w:rPr>
          <w:rFonts w:ascii="Noto Sans" w:eastAsia="Calibri" w:hAnsi="Noto Sans" w:cs="Noto Sans"/>
          <w:lang w:val="en-US" w:eastAsia="en-GB"/>
        </w:rPr>
        <w:t>4</w:t>
      </w:r>
      <w:r w:rsidR="00A30FB4">
        <w:rPr>
          <w:rFonts w:ascii="Noto Sans" w:eastAsia="Calibri" w:hAnsi="Noto Sans" w:cs="Noto Sans"/>
          <w:lang w:val="en-US" w:eastAsia="en-GB"/>
        </w:rPr>
        <w:t>00</w:t>
      </w:r>
      <w:r w:rsidR="003B628A" w:rsidRPr="00293DC7">
        <w:rPr>
          <w:rFonts w:ascii="Noto Sans" w:eastAsia="Calibri" w:hAnsi="Noto Sans" w:cs="Noto Sans"/>
          <w:lang w:val="en-US" w:eastAsia="en-GB"/>
        </w:rPr>
        <w:t xml:space="preserve">m </w:t>
      </w:r>
      <w:r w:rsidR="002154BD" w:rsidRPr="00293DC7">
        <w:rPr>
          <w:rFonts w:ascii="Noto Sans" w:eastAsia="Calibri" w:hAnsi="Noto Sans" w:cs="Noto Sans"/>
          <w:lang w:val="en-US" w:eastAsia="en-GB"/>
        </w:rPr>
        <w:t xml:space="preserve">for the development or acquisition of </w:t>
      </w:r>
      <w:r w:rsidR="000E3EFD" w:rsidRPr="00293DC7">
        <w:rPr>
          <w:rFonts w:ascii="Noto Sans" w:eastAsia="Calibri" w:hAnsi="Noto Sans" w:cs="Noto Sans"/>
          <w:lang w:val="en-US" w:eastAsia="en-GB"/>
        </w:rPr>
        <w:t>1,</w:t>
      </w:r>
      <w:r w:rsidR="00A30FB4">
        <w:rPr>
          <w:rFonts w:ascii="Noto Sans" w:eastAsia="Calibri" w:hAnsi="Noto Sans" w:cs="Noto Sans"/>
          <w:lang w:val="en-US" w:eastAsia="en-GB"/>
        </w:rPr>
        <w:t>373</w:t>
      </w:r>
      <w:r w:rsidR="003B628A" w:rsidRPr="00293DC7">
        <w:rPr>
          <w:rFonts w:ascii="Noto Sans" w:eastAsia="Calibri" w:hAnsi="Noto Sans" w:cs="Noto Sans"/>
          <w:lang w:val="en-US" w:eastAsia="en-GB"/>
        </w:rPr>
        <w:t xml:space="preserve"> </w:t>
      </w:r>
      <w:r w:rsidR="002154BD" w:rsidRPr="00293DC7">
        <w:rPr>
          <w:rFonts w:ascii="Noto Sans" w:eastAsia="Calibri" w:hAnsi="Noto Sans" w:cs="Noto Sans"/>
          <w:lang w:val="en-US" w:eastAsia="en-GB"/>
        </w:rPr>
        <w:t>homes</w:t>
      </w:r>
      <w:r w:rsidR="00DD477B" w:rsidRPr="00293DC7">
        <w:rPr>
          <w:rFonts w:ascii="Noto Sans" w:eastAsia="Calibri" w:hAnsi="Noto Sans" w:cs="Noto Sans"/>
          <w:lang w:val="en-US" w:eastAsia="en-GB"/>
        </w:rPr>
        <w:t>, funded</w:t>
      </w:r>
      <w:r w:rsidR="002154BD" w:rsidRPr="00293DC7">
        <w:rPr>
          <w:rFonts w:ascii="Noto Sans" w:eastAsia="Calibri" w:hAnsi="Noto Sans" w:cs="Noto Sans"/>
          <w:lang w:val="en-US" w:eastAsia="en-GB"/>
        </w:rPr>
        <w:t xml:space="preserve"> </w:t>
      </w:r>
      <w:r w:rsidR="009C3333" w:rsidRPr="00293DC7">
        <w:rPr>
          <w:rFonts w:ascii="Noto Sans" w:eastAsia="Calibri" w:hAnsi="Noto Sans" w:cs="Noto Sans"/>
          <w:lang w:val="en-US" w:eastAsia="en-GB"/>
        </w:rPr>
        <w:t>in the period</w:t>
      </w:r>
      <w:r w:rsidR="002154BD" w:rsidRPr="00293DC7">
        <w:rPr>
          <w:rFonts w:ascii="Noto Sans" w:eastAsia="Calibri" w:hAnsi="Noto Sans" w:cs="Noto Sans"/>
          <w:lang w:val="en-US" w:eastAsia="en-GB"/>
        </w:rPr>
        <w:t xml:space="preserve"> to </w:t>
      </w:r>
      <w:r w:rsidR="009C3333" w:rsidRPr="00293DC7">
        <w:rPr>
          <w:rFonts w:ascii="Noto Sans" w:eastAsia="Calibri" w:hAnsi="Noto Sans" w:cs="Noto Sans"/>
          <w:lang w:val="en-US" w:eastAsia="en-GB"/>
        </w:rPr>
        <w:t>20</w:t>
      </w:r>
      <w:r w:rsidR="00EB36BE" w:rsidRPr="00293DC7">
        <w:rPr>
          <w:rFonts w:ascii="Noto Sans" w:eastAsia="Calibri" w:hAnsi="Noto Sans" w:cs="Noto Sans"/>
          <w:lang w:val="en-US" w:eastAsia="en-GB"/>
        </w:rPr>
        <w:t>28/29</w:t>
      </w:r>
      <w:r w:rsidR="00DD477B" w:rsidRPr="00293DC7">
        <w:rPr>
          <w:rFonts w:ascii="Noto Sans" w:eastAsia="Calibri" w:hAnsi="Noto Sans" w:cs="Noto Sans"/>
          <w:lang w:val="en-US" w:eastAsia="en-GB"/>
        </w:rPr>
        <w:t xml:space="preserve"> and delivered up to 2030</w:t>
      </w:r>
      <w:r w:rsidR="00C2642D" w:rsidRPr="00293DC7">
        <w:rPr>
          <w:rFonts w:ascii="Noto Sans" w:eastAsia="Calibri" w:hAnsi="Noto Sans" w:cs="Noto Sans"/>
          <w:lang w:val="en-US" w:eastAsia="en-GB"/>
        </w:rPr>
        <w:t>/31</w:t>
      </w:r>
      <w:r w:rsidR="009C3333" w:rsidRPr="00293DC7">
        <w:rPr>
          <w:rFonts w:ascii="Noto Sans" w:eastAsia="Calibri" w:hAnsi="Noto Sans" w:cs="Noto Sans"/>
          <w:lang w:val="en-US" w:eastAsia="en-GB"/>
        </w:rPr>
        <w:t>.</w:t>
      </w:r>
      <w:r w:rsidR="002154BD"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This</w:t>
      </w:r>
      <w:r w:rsidR="00787680"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 xml:space="preserve">money </w:t>
      </w:r>
      <w:r w:rsidR="00787680" w:rsidRPr="00293DC7">
        <w:rPr>
          <w:rFonts w:ascii="Noto Sans" w:eastAsia="Calibri" w:hAnsi="Noto Sans" w:cs="Noto Sans"/>
          <w:lang w:val="en-US" w:eastAsia="en-GB"/>
        </w:rPr>
        <w:t>is mainly</w:t>
      </w:r>
      <w:r w:rsidR="009E60A4" w:rsidRPr="00293DC7">
        <w:rPr>
          <w:rFonts w:ascii="Noto Sans" w:eastAsia="Calibri" w:hAnsi="Noto Sans" w:cs="Noto Sans"/>
          <w:lang w:val="en-US" w:eastAsia="en-GB"/>
        </w:rPr>
        <w:t xml:space="preserve"> </w:t>
      </w:r>
      <w:r w:rsidR="005D0207" w:rsidRPr="00293DC7">
        <w:rPr>
          <w:rFonts w:ascii="Noto Sans" w:eastAsia="Calibri" w:hAnsi="Noto Sans" w:cs="Noto Sans"/>
          <w:lang w:val="en-US" w:eastAsia="en-GB"/>
        </w:rPr>
        <w:t>availab</w:t>
      </w:r>
      <w:r w:rsidR="009E60A4" w:rsidRPr="00293DC7">
        <w:rPr>
          <w:rFonts w:ascii="Noto Sans" w:eastAsia="Calibri" w:hAnsi="Noto Sans" w:cs="Noto Sans"/>
          <w:lang w:val="en-US" w:eastAsia="en-GB"/>
        </w:rPr>
        <w:t>le to us</w:t>
      </w:r>
      <w:r w:rsidR="005D0207" w:rsidRPr="00293DC7">
        <w:rPr>
          <w:rFonts w:ascii="Noto Sans" w:eastAsia="Calibri" w:hAnsi="Noto Sans" w:cs="Noto Sans"/>
          <w:lang w:val="en-US" w:eastAsia="en-GB"/>
        </w:rPr>
        <w:t xml:space="preserve"> through borrowing</w:t>
      </w:r>
      <w:r w:rsidR="00F47491">
        <w:rPr>
          <w:rFonts w:ascii="Noto Sans" w:eastAsia="Calibri" w:hAnsi="Noto Sans" w:cs="Noto Sans"/>
          <w:lang w:val="en-US" w:eastAsia="en-GB"/>
        </w:rPr>
        <w:t xml:space="preserve"> </w:t>
      </w:r>
      <w:r w:rsidR="009E60A4">
        <w:rPr>
          <w:rFonts w:ascii="Noto Sans" w:eastAsia="Calibri" w:hAnsi="Noto Sans" w:cs="Noto Sans"/>
          <w:lang w:val="en-US" w:eastAsia="en-GB"/>
        </w:rPr>
        <w:t xml:space="preserve">but is also from </w:t>
      </w:r>
      <w:r w:rsidR="005D0207" w:rsidRPr="005D0207">
        <w:rPr>
          <w:rFonts w:ascii="Noto Sans" w:eastAsia="Calibri" w:hAnsi="Noto Sans" w:cs="Noto Sans"/>
          <w:lang w:val="en-US" w:eastAsia="en-GB"/>
        </w:rPr>
        <w:t>Right to Buy receipts</w:t>
      </w:r>
      <w:r w:rsidR="00BA4A9E">
        <w:rPr>
          <w:rFonts w:ascii="Noto Sans" w:eastAsia="Calibri" w:hAnsi="Noto Sans" w:cs="Noto Sans"/>
          <w:lang w:val="en-US" w:eastAsia="en-GB"/>
        </w:rPr>
        <w:t xml:space="preserve">, </w:t>
      </w:r>
      <w:r w:rsidR="005D0207" w:rsidRPr="005D0207">
        <w:rPr>
          <w:rFonts w:ascii="Noto Sans" w:eastAsia="Calibri" w:hAnsi="Noto Sans" w:cs="Noto Sans"/>
          <w:lang w:val="en-US" w:eastAsia="en-GB"/>
        </w:rPr>
        <w:t>grant funding</w:t>
      </w:r>
      <w:r w:rsidR="00BA4A9E">
        <w:rPr>
          <w:rFonts w:ascii="Noto Sans" w:eastAsia="Calibri" w:hAnsi="Noto Sans" w:cs="Noto Sans"/>
          <w:lang w:val="en-US" w:eastAsia="en-GB"/>
        </w:rPr>
        <w:t xml:space="preserve"> and some Section 106 monies.</w:t>
      </w:r>
    </w:p>
    <w:p w14:paraId="49155041" w14:textId="7A961207" w:rsidR="00AA0677" w:rsidRDefault="00AB5102"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Around two </w:t>
      </w:r>
      <w:r w:rsidRPr="00873F59">
        <w:rPr>
          <w:rFonts w:ascii="Noto Sans" w:eastAsia="Calibri" w:hAnsi="Noto Sans" w:cs="Noto Sans"/>
          <w:lang w:val="en-US" w:eastAsia="en-GB"/>
        </w:rPr>
        <w:t>thirds</w:t>
      </w:r>
      <w:r w:rsidR="0066261B" w:rsidRPr="00873F59">
        <w:rPr>
          <w:rFonts w:ascii="Noto Sans" w:eastAsia="Calibri" w:hAnsi="Noto Sans" w:cs="Noto Sans"/>
          <w:lang w:val="en-US" w:eastAsia="en-GB"/>
        </w:rPr>
        <w:t xml:space="preserve"> (</w:t>
      </w:r>
      <w:r w:rsidR="00A30FB4" w:rsidRPr="00873F59">
        <w:rPr>
          <w:rFonts w:ascii="Noto Sans" w:eastAsia="Calibri" w:hAnsi="Noto Sans" w:cs="Noto Sans"/>
          <w:lang w:val="en-US" w:eastAsia="en-GB"/>
        </w:rPr>
        <w:t>6</w:t>
      </w:r>
      <w:r w:rsidR="0066261B" w:rsidRPr="00873F59">
        <w:rPr>
          <w:rFonts w:ascii="Noto Sans" w:eastAsia="Calibri" w:hAnsi="Noto Sans" w:cs="Noto Sans"/>
          <w:lang w:val="en-US" w:eastAsia="en-GB"/>
        </w:rPr>
        <w:t>7%) of the</w:t>
      </w:r>
      <w:r w:rsidR="0066261B">
        <w:rPr>
          <w:rFonts w:ascii="Noto Sans" w:eastAsia="Calibri" w:hAnsi="Noto Sans" w:cs="Noto Sans"/>
          <w:lang w:val="en-US" w:eastAsia="en-GB"/>
        </w:rPr>
        <w:t xml:space="preserve"> </w:t>
      </w:r>
      <w:r w:rsidR="00F472F9">
        <w:rPr>
          <w:rFonts w:ascii="Noto Sans" w:eastAsia="Calibri" w:hAnsi="Noto Sans" w:cs="Noto Sans"/>
          <w:lang w:val="en-US" w:eastAsia="en-GB"/>
        </w:rPr>
        <w:t>new</w:t>
      </w:r>
      <w:r w:rsidR="004F7E8A">
        <w:rPr>
          <w:rFonts w:ascii="Noto Sans" w:eastAsia="Calibri" w:hAnsi="Noto Sans" w:cs="Noto Sans"/>
          <w:lang w:val="en-US" w:eastAsia="en-GB"/>
        </w:rPr>
        <w:t xml:space="preserve"> </w:t>
      </w:r>
      <w:r w:rsidR="0066261B">
        <w:rPr>
          <w:rFonts w:ascii="Noto Sans" w:eastAsia="Calibri" w:hAnsi="Noto Sans" w:cs="Noto Sans"/>
          <w:lang w:val="en-US" w:eastAsia="en-GB"/>
        </w:rPr>
        <w:t xml:space="preserve">homes will be let at social rents, with </w:t>
      </w:r>
      <w:r w:rsidR="008E4375" w:rsidRPr="00340ED0">
        <w:rPr>
          <w:rFonts w:ascii="Noto Sans" w:eastAsia="Calibri" w:hAnsi="Noto Sans" w:cs="Noto Sans"/>
          <w:lang w:val="en-US" w:eastAsia="en-GB"/>
        </w:rPr>
        <w:t xml:space="preserve">just </w:t>
      </w:r>
      <w:r w:rsidR="00A30FB4" w:rsidRPr="00340ED0">
        <w:rPr>
          <w:rFonts w:ascii="Noto Sans" w:eastAsia="Calibri" w:hAnsi="Noto Sans" w:cs="Noto Sans"/>
          <w:lang w:val="en-US" w:eastAsia="en-GB"/>
        </w:rPr>
        <w:t>5</w:t>
      </w:r>
      <w:r w:rsidR="00A30FB4">
        <w:rPr>
          <w:rFonts w:ascii="Noto Sans" w:eastAsia="Calibri" w:hAnsi="Noto Sans" w:cs="Noto Sans"/>
          <w:lang w:val="en-US" w:eastAsia="en-GB"/>
        </w:rPr>
        <w:t xml:space="preserve"> </w:t>
      </w:r>
      <w:r w:rsidR="00340ED0">
        <w:rPr>
          <w:rFonts w:ascii="Noto Sans" w:eastAsia="Calibri" w:hAnsi="Noto Sans" w:cs="Noto Sans"/>
          <w:lang w:val="en-US" w:eastAsia="en-GB"/>
        </w:rPr>
        <w:t xml:space="preserve">homes </w:t>
      </w:r>
      <w:r w:rsidR="00942053">
        <w:rPr>
          <w:rFonts w:ascii="Noto Sans" w:eastAsia="Calibri" w:hAnsi="Noto Sans" w:cs="Noto Sans"/>
          <w:lang w:val="en-US" w:eastAsia="en-GB"/>
        </w:rPr>
        <w:t xml:space="preserve">to be let on higher affordable rents. </w:t>
      </w:r>
      <w:r w:rsidR="00F47491">
        <w:rPr>
          <w:rFonts w:ascii="Noto Sans" w:eastAsia="Calibri" w:hAnsi="Noto Sans" w:cs="Noto Sans"/>
          <w:lang w:val="en-US" w:eastAsia="en-GB"/>
        </w:rPr>
        <w:t>While these new homes will provide a rental income, our decis</w:t>
      </w:r>
      <w:r w:rsidR="0056619C">
        <w:rPr>
          <w:rFonts w:ascii="Noto Sans" w:eastAsia="Calibri" w:hAnsi="Noto Sans" w:cs="Noto Sans"/>
          <w:lang w:val="en-US" w:eastAsia="en-GB"/>
        </w:rPr>
        <w:t xml:space="preserve">ion to let </w:t>
      </w:r>
      <w:r w:rsidR="00615945">
        <w:rPr>
          <w:rFonts w:ascii="Noto Sans" w:eastAsia="Calibri" w:hAnsi="Noto Sans" w:cs="Noto Sans"/>
          <w:lang w:val="en-US" w:eastAsia="en-GB"/>
        </w:rPr>
        <w:t xml:space="preserve">most of </w:t>
      </w:r>
      <w:r w:rsidR="0056619C">
        <w:rPr>
          <w:rFonts w:ascii="Noto Sans" w:eastAsia="Calibri" w:hAnsi="Noto Sans" w:cs="Noto Sans"/>
          <w:lang w:val="en-US" w:eastAsia="en-GB"/>
        </w:rPr>
        <w:t xml:space="preserve">them on social rents means that the </w:t>
      </w:r>
      <w:r w:rsidR="006627E6">
        <w:rPr>
          <w:rFonts w:ascii="Noto Sans" w:eastAsia="Calibri" w:hAnsi="Noto Sans" w:cs="Noto Sans"/>
          <w:lang w:val="en-US" w:eastAsia="en-GB"/>
        </w:rPr>
        <w:t xml:space="preserve">high costs involved in developing them are not recovered </w:t>
      </w:r>
      <w:r w:rsidR="004B11C4">
        <w:rPr>
          <w:rFonts w:ascii="Noto Sans" w:eastAsia="Calibri" w:hAnsi="Noto Sans" w:cs="Noto Sans"/>
          <w:lang w:val="en-US" w:eastAsia="en-GB"/>
        </w:rPr>
        <w:t>over the life of the Business Plan.</w:t>
      </w:r>
      <w:r w:rsidR="00E70131">
        <w:rPr>
          <w:rFonts w:ascii="Noto Sans" w:eastAsia="Calibri" w:hAnsi="Noto Sans" w:cs="Noto Sans"/>
          <w:lang w:val="en-US" w:eastAsia="en-GB"/>
        </w:rPr>
        <w:t xml:space="preserve"> However, the benefits of providing these new homes on social rents means we can </w:t>
      </w:r>
      <w:r w:rsidR="00416062">
        <w:rPr>
          <w:rFonts w:ascii="Noto Sans" w:eastAsia="Calibri" w:hAnsi="Noto Sans" w:cs="Noto Sans"/>
          <w:lang w:val="en-US" w:eastAsia="en-GB"/>
        </w:rPr>
        <w:t>better address the significant shortage of genuinely affordable homes</w:t>
      </w:r>
      <w:r w:rsidR="00F27EF5">
        <w:rPr>
          <w:rFonts w:ascii="Noto Sans" w:eastAsia="Calibri" w:hAnsi="Noto Sans" w:cs="Noto Sans"/>
          <w:lang w:val="en-US" w:eastAsia="en-GB"/>
        </w:rPr>
        <w:t>,</w:t>
      </w:r>
      <w:r w:rsidR="003419F4">
        <w:rPr>
          <w:rFonts w:ascii="Noto Sans" w:eastAsia="Calibri" w:hAnsi="Noto Sans" w:cs="Noto Sans"/>
          <w:lang w:val="en-US" w:eastAsia="en-GB"/>
        </w:rPr>
        <w:t xml:space="preserve"> as well as</w:t>
      </w:r>
      <w:r w:rsidR="00F27EF5">
        <w:rPr>
          <w:rFonts w:ascii="Noto Sans" w:eastAsia="Calibri" w:hAnsi="Noto Sans" w:cs="Noto Sans"/>
          <w:lang w:val="en-US" w:eastAsia="en-GB"/>
        </w:rPr>
        <w:t xml:space="preserve"> losses of existing social rented homes through the Right to Buy</w:t>
      </w:r>
      <w:r w:rsidR="003419F4">
        <w:rPr>
          <w:rFonts w:ascii="Noto Sans" w:eastAsia="Calibri" w:hAnsi="Noto Sans" w:cs="Noto Sans"/>
          <w:lang w:val="en-US" w:eastAsia="en-GB"/>
        </w:rPr>
        <w:t xml:space="preserve">. </w:t>
      </w:r>
    </w:p>
    <w:p w14:paraId="6544CBC3" w14:textId="77777777" w:rsidR="00340ED0" w:rsidRDefault="00D50D43"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 xml:space="preserve">A </w:t>
      </w:r>
      <w:r w:rsidRPr="00340ED0">
        <w:rPr>
          <w:rFonts w:ascii="Noto Sans" w:eastAsia="Calibri" w:hAnsi="Noto Sans" w:cs="Noto Sans"/>
          <w:lang w:val="en-US" w:eastAsia="en-GB"/>
        </w:rPr>
        <w:t>further</w:t>
      </w:r>
      <w:r w:rsidR="00BB33D7" w:rsidRPr="00340ED0">
        <w:rPr>
          <w:rFonts w:ascii="Noto Sans" w:eastAsia="Calibri" w:hAnsi="Noto Sans" w:cs="Noto Sans"/>
          <w:lang w:val="en-US" w:eastAsia="en-GB"/>
        </w:rPr>
        <w:t xml:space="preserve"> 4</w:t>
      </w:r>
      <w:r w:rsidR="00A30FB4" w:rsidRPr="00340ED0">
        <w:rPr>
          <w:rFonts w:ascii="Noto Sans" w:eastAsia="Calibri" w:hAnsi="Noto Sans" w:cs="Noto Sans"/>
          <w:lang w:val="en-US" w:eastAsia="en-GB"/>
        </w:rPr>
        <w:t>4</w:t>
      </w:r>
      <w:r w:rsidR="00BB33D7" w:rsidRPr="00340ED0">
        <w:rPr>
          <w:rFonts w:ascii="Noto Sans" w:eastAsia="Calibri" w:hAnsi="Noto Sans" w:cs="Noto Sans"/>
          <w:lang w:val="en-US" w:eastAsia="en-GB"/>
        </w:rPr>
        <w:t>5 of</w:t>
      </w:r>
      <w:r w:rsidR="00BB33D7">
        <w:rPr>
          <w:rFonts w:ascii="Noto Sans" w:eastAsia="Calibri" w:hAnsi="Noto Sans" w:cs="Noto Sans"/>
          <w:lang w:val="en-US" w:eastAsia="en-GB"/>
        </w:rPr>
        <w:t xml:space="preserve"> the new homes will be available </w:t>
      </w:r>
      <w:r>
        <w:rPr>
          <w:rFonts w:ascii="Noto Sans" w:eastAsia="Calibri" w:hAnsi="Noto Sans" w:cs="Noto Sans"/>
          <w:lang w:val="en-US" w:eastAsia="en-GB"/>
        </w:rPr>
        <w:t>for</w:t>
      </w:r>
      <w:r w:rsidR="00BB33D7">
        <w:rPr>
          <w:rFonts w:ascii="Noto Sans" w:eastAsia="Calibri" w:hAnsi="Noto Sans" w:cs="Noto Sans"/>
          <w:lang w:val="en-US" w:eastAsia="en-GB"/>
        </w:rPr>
        <w:t xml:space="preserve"> </w:t>
      </w:r>
      <w:r>
        <w:rPr>
          <w:rFonts w:ascii="Noto Sans" w:eastAsia="Calibri" w:hAnsi="Noto Sans" w:cs="Noto Sans"/>
          <w:lang w:val="en-US" w:eastAsia="en-GB"/>
        </w:rPr>
        <w:t>shared ownership.</w:t>
      </w:r>
    </w:p>
    <w:p w14:paraId="507FB9E1" w14:textId="7BB18B95" w:rsidR="000C417F" w:rsidRDefault="00DE3BC9" w:rsidP="007879A5">
      <w:pPr>
        <w:spacing w:after="120" w:line="259" w:lineRule="auto"/>
        <w:rPr>
          <w:rFonts w:ascii="Noto Sans" w:eastAsia="Calibri" w:hAnsi="Noto Sans" w:cs="Noto Sans"/>
          <w:lang w:val="en-US" w:eastAsia="en-GB"/>
        </w:rPr>
      </w:pPr>
      <w:r>
        <w:rPr>
          <w:rFonts w:ascii="Noto Sans" w:eastAsia="Calibri" w:hAnsi="Noto Sans" w:cs="Noto Sans"/>
          <w:lang w:val="en-US" w:eastAsia="en-GB"/>
        </w:rPr>
        <w:t>All t</w:t>
      </w:r>
      <w:r w:rsidR="00A25481" w:rsidRPr="00A25481">
        <w:rPr>
          <w:rFonts w:ascii="Noto Sans" w:eastAsia="Calibri" w:hAnsi="Noto Sans" w:cs="Noto Sans"/>
          <w:lang w:val="en-US" w:eastAsia="en-GB"/>
        </w:rPr>
        <w:t>h</w:t>
      </w:r>
      <w:r w:rsidR="00A25481">
        <w:rPr>
          <w:rFonts w:ascii="Noto Sans" w:eastAsia="Calibri" w:hAnsi="Noto Sans" w:cs="Noto Sans"/>
          <w:lang w:val="en-US" w:eastAsia="en-GB"/>
        </w:rPr>
        <w:t>e new</w:t>
      </w:r>
      <w:r w:rsidR="007C4AD6">
        <w:rPr>
          <w:rFonts w:ascii="Noto Sans" w:eastAsia="Calibri" w:hAnsi="Noto Sans" w:cs="Noto Sans"/>
          <w:lang w:val="en-US" w:eastAsia="en-GB"/>
        </w:rPr>
        <w:t>ly built</w:t>
      </w:r>
      <w:r w:rsidR="00A25481">
        <w:rPr>
          <w:rFonts w:ascii="Noto Sans" w:eastAsia="Calibri" w:hAnsi="Noto Sans" w:cs="Noto Sans"/>
          <w:lang w:val="en-US" w:eastAsia="en-GB"/>
        </w:rPr>
        <w:t xml:space="preserve"> homes will be delivered to</w:t>
      </w:r>
      <w:r w:rsidR="00A25481" w:rsidRPr="00A25481">
        <w:rPr>
          <w:rFonts w:ascii="Noto Sans" w:eastAsia="Calibri" w:hAnsi="Noto Sans" w:cs="Noto Sans"/>
          <w:lang w:val="en-US" w:eastAsia="en-GB"/>
        </w:rPr>
        <w:t xml:space="preserve"> current day standards</w:t>
      </w:r>
      <w:r w:rsidR="00A25481">
        <w:rPr>
          <w:rFonts w:ascii="Noto Sans" w:eastAsia="Calibri" w:hAnsi="Noto Sans" w:cs="Noto Sans"/>
          <w:lang w:val="en-US" w:eastAsia="en-GB"/>
        </w:rPr>
        <w:t xml:space="preserve"> in terms of quality, size and energy efficiency</w:t>
      </w:r>
      <w:r w:rsidR="00BE47BF">
        <w:rPr>
          <w:rFonts w:ascii="Noto Sans" w:eastAsia="Calibri" w:hAnsi="Noto Sans" w:cs="Noto Sans"/>
          <w:lang w:val="en-US" w:eastAsia="en-GB"/>
        </w:rPr>
        <w:t xml:space="preserve">, and the mix of property types </w:t>
      </w:r>
      <w:r w:rsidR="00F744C6">
        <w:rPr>
          <w:rFonts w:ascii="Noto Sans" w:eastAsia="Calibri" w:hAnsi="Noto Sans" w:cs="Noto Sans"/>
          <w:lang w:val="en-US" w:eastAsia="en-GB"/>
        </w:rPr>
        <w:t>is being tailored to match demand.</w:t>
      </w:r>
      <w:r w:rsidR="00A25481" w:rsidRPr="00A25481">
        <w:rPr>
          <w:rFonts w:ascii="Noto Sans" w:eastAsia="Calibri" w:hAnsi="Noto Sans" w:cs="Noto Sans"/>
          <w:lang w:val="en-US" w:eastAsia="en-GB"/>
        </w:rPr>
        <w:t xml:space="preserve"> </w:t>
      </w:r>
      <w:r w:rsidR="007879A5">
        <w:rPr>
          <w:rFonts w:ascii="Noto Sans" w:eastAsia="Calibri" w:hAnsi="Noto Sans" w:cs="Noto Sans"/>
          <w:lang w:val="en-US" w:eastAsia="en-GB"/>
        </w:rPr>
        <w:t xml:space="preserve">Overall, the new build </w:t>
      </w:r>
      <w:proofErr w:type="spellStart"/>
      <w:r w:rsidR="007879A5">
        <w:rPr>
          <w:rFonts w:ascii="Noto Sans" w:eastAsia="Calibri" w:hAnsi="Noto Sans" w:cs="Noto Sans"/>
          <w:lang w:val="en-US" w:eastAsia="en-GB"/>
        </w:rPr>
        <w:t>programme</w:t>
      </w:r>
      <w:proofErr w:type="spellEnd"/>
      <w:r w:rsidR="007879A5">
        <w:rPr>
          <w:rFonts w:ascii="Noto Sans" w:eastAsia="Calibri" w:hAnsi="Noto Sans" w:cs="Noto Sans"/>
          <w:lang w:val="en-US" w:eastAsia="en-GB"/>
        </w:rPr>
        <w:t xml:space="preserve"> </w:t>
      </w:r>
      <w:r w:rsidR="007C4AD6">
        <w:rPr>
          <w:rFonts w:ascii="Noto Sans" w:eastAsia="Calibri" w:hAnsi="Noto Sans" w:cs="Noto Sans"/>
          <w:lang w:val="en-US" w:eastAsia="en-GB"/>
        </w:rPr>
        <w:t xml:space="preserve">of </w:t>
      </w:r>
      <w:r w:rsidR="004C4512">
        <w:rPr>
          <w:rFonts w:ascii="Noto Sans" w:eastAsia="Calibri" w:hAnsi="Noto Sans" w:cs="Noto Sans"/>
          <w:lang w:val="en-US" w:eastAsia="en-GB"/>
        </w:rPr>
        <w:t xml:space="preserve">social and affordable rented homes </w:t>
      </w:r>
      <w:r w:rsidR="007879A5">
        <w:rPr>
          <w:rFonts w:ascii="Noto Sans" w:eastAsia="Calibri" w:hAnsi="Noto Sans" w:cs="Noto Sans"/>
          <w:lang w:val="en-US" w:eastAsia="en-GB"/>
        </w:rPr>
        <w:t xml:space="preserve">will </w:t>
      </w:r>
      <w:r w:rsidR="007879A5" w:rsidRPr="007879A5">
        <w:rPr>
          <w:rFonts w:ascii="Noto Sans" w:eastAsia="Calibri" w:hAnsi="Noto Sans" w:cs="Noto Sans"/>
          <w:lang w:val="en-US" w:eastAsia="en-GB"/>
        </w:rPr>
        <w:t xml:space="preserve">enhance the quality and sustainability of </w:t>
      </w:r>
      <w:r w:rsidR="000C417F">
        <w:rPr>
          <w:rFonts w:ascii="Noto Sans" w:eastAsia="Calibri" w:hAnsi="Noto Sans" w:cs="Noto Sans"/>
          <w:lang w:val="en-US" w:eastAsia="en-GB"/>
        </w:rPr>
        <w:t xml:space="preserve">the </w:t>
      </w:r>
      <w:r w:rsidR="007879A5" w:rsidRPr="007879A5">
        <w:rPr>
          <w:rFonts w:ascii="Noto Sans" w:eastAsia="Calibri" w:hAnsi="Noto Sans" w:cs="Noto Sans"/>
          <w:lang w:val="en-US" w:eastAsia="en-GB"/>
        </w:rPr>
        <w:t>HRA stock</w:t>
      </w:r>
      <w:r w:rsidR="000C417F">
        <w:rPr>
          <w:rFonts w:ascii="Noto Sans" w:eastAsia="Calibri" w:hAnsi="Noto Sans" w:cs="Noto Sans"/>
          <w:lang w:val="en-US" w:eastAsia="en-GB"/>
        </w:rPr>
        <w:t>.</w:t>
      </w:r>
    </w:p>
    <w:p w14:paraId="628F32FA" w14:textId="77777777" w:rsidR="00C1749F" w:rsidRDefault="00C1749F" w:rsidP="007879A5">
      <w:pPr>
        <w:spacing w:after="120" w:line="259" w:lineRule="auto"/>
        <w:rPr>
          <w:rFonts w:ascii="Noto Sans" w:eastAsia="Calibri" w:hAnsi="Noto Sans" w:cs="Noto Sans"/>
          <w:lang w:val="en-US" w:eastAsia="en-GB"/>
        </w:rPr>
      </w:pPr>
    </w:p>
    <w:p w14:paraId="5D2C90FD" w14:textId="77777777" w:rsidR="00C1749F" w:rsidRDefault="00C1749F" w:rsidP="007879A5">
      <w:pPr>
        <w:spacing w:after="120" w:line="259" w:lineRule="auto"/>
        <w:rPr>
          <w:rFonts w:ascii="Noto Sans" w:eastAsia="Calibri" w:hAnsi="Noto Sans" w:cs="Noto Sans"/>
          <w:lang w:val="en-US" w:eastAsia="en-GB"/>
        </w:rPr>
      </w:pPr>
    </w:p>
    <w:p w14:paraId="7D6FC8DD" w14:textId="77777777" w:rsidR="0037540C" w:rsidRDefault="0037540C" w:rsidP="007879A5">
      <w:pPr>
        <w:spacing w:after="120" w:line="259" w:lineRule="auto"/>
        <w:rPr>
          <w:rFonts w:ascii="Noto Sans" w:eastAsia="Calibri" w:hAnsi="Noto Sans" w:cs="Noto Sans"/>
          <w:lang w:val="en-US" w:eastAsia="en-GB"/>
        </w:rPr>
      </w:pPr>
    </w:p>
    <w:tbl>
      <w:tblPr>
        <w:tblStyle w:val="GridTable1Light-Accent3"/>
        <w:tblW w:w="10091" w:type="dxa"/>
        <w:tblInd w:w="-572" w:type="dxa"/>
        <w:tblLook w:val="04A0" w:firstRow="1" w:lastRow="0" w:firstColumn="1" w:lastColumn="0" w:noHBand="0" w:noVBand="1"/>
      </w:tblPr>
      <w:tblGrid>
        <w:gridCol w:w="2411"/>
        <w:gridCol w:w="960"/>
        <w:gridCol w:w="960"/>
        <w:gridCol w:w="960"/>
        <w:gridCol w:w="960"/>
        <w:gridCol w:w="960"/>
        <w:gridCol w:w="960"/>
        <w:gridCol w:w="960"/>
        <w:gridCol w:w="960"/>
      </w:tblGrid>
      <w:tr w:rsidR="00AE22AB" w:rsidRPr="00F7157B" w14:paraId="1BCAA62A" w14:textId="77777777" w:rsidTr="006C5E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91" w:type="dxa"/>
            <w:gridSpan w:val="9"/>
            <w:shd w:val="clear" w:color="auto" w:fill="0070C0"/>
          </w:tcPr>
          <w:p w14:paraId="7679053B" w14:textId="3A4AB332" w:rsidR="00AE22AB" w:rsidRPr="00F7157B" w:rsidRDefault="00AE22AB" w:rsidP="00F7157B">
            <w:pPr>
              <w:jc w:val="center"/>
              <w:rPr>
                <w:rFonts w:ascii="Aptos Narrow" w:eastAsia="Times New Roman" w:hAnsi="Aptos Narrow" w:cs="Times New Roman"/>
                <w:b w:val="0"/>
                <w:bCs w:val="0"/>
                <w:color w:val="000000"/>
                <w:sz w:val="22"/>
                <w:szCs w:val="22"/>
                <w:lang w:eastAsia="en-GB"/>
              </w:rPr>
            </w:pPr>
            <w:r w:rsidRPr="00AE22AB">
              <w:rPr>
                <w:rFonts w:ascii="Aptos Narrow" w:eastAsia="Times New Roman" w:hAnsi="Aptos Narrow" w:cs="Times New Roman"/>
                <w:color w:val="FFFFFF" w:themeColor="background1"/>
                <w:lang w:eastAsia="en-GB"/>
              </w:rPr>
              <w:t>New homes delivered, by tenure</w:t>
            </w:r>
          </w:p>
        </w:tc>
      </w:tr>
      <w:tr w:rsidR="00AE22AB" w:rsidRPr="00F7157B" w14:paraId="44C80D08"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vMerge w:val="restart"/>
            <w:hideMark/>
          </w:tcPr>
          <w:p w14:paraId="26B583D0" w14:textId="77777777" w:rsidR="00AE22AB" w:rsidRPr="00F7157B" w:rsidRDefault="00AE22AB" w:rsidP="00F7157B">
            <w:pPr>
              <w:jc w:val="center"/>
              <w:rPr>
                <w:rFonts w:ascii="Aptos Narrow" w:eastAsia="Times New Roman" w:hAnsi="Aptos Narrow" w:cs="Times New Roman"/>
                <w:b w:val="0"/>
                <w:bCs w:val="0"/>
                <w:color w:val="000000"/>
                <w:sz w:val="22"/>
                <w:szCs w:val="22"/>
                <w:lang w:eastAsia="en-GB"/>
              </w:rPr>
            </w:pPr>
            <w:r w:rsidRPr="00F7157B">
              <w:rPr>
                <w:rFonts w:ascii="Aptos Narrow" w:eastAsia="Times New Roman" w:hAnsi="Aptos Narrow" w:cs="Times New Roman"/>
                <w:color w:val="000000"/>
                <w:sz w:val="22"/>
                <w:szCs w:val="22"/>
                <w:lang w:eastAsia="en-GB"/>
              </w:rPr>
              <w:t>New Homes</w:t>
            </w:r>
          </w:p>
          <w:p w14:paraId="57605174" w14:textId="1C8E7E22" w:rsidR="00AE22AB" w:rsidRPr="00F7157B" w:rsidRDefault="00AE22AB" w:rsidP="00F7157B">
            <w:pPr>
              <w:jc w:val="cente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Tenure</w:t>
            </w:r>
          </w:p>
        </w:tc>
        <w:tc>
          <w:tcPr>
            <w:tcW w:w="960" w:type="dxa"/>
            <w:hideMark/>
          </w:tcPr>
          <w:p w14:paraId="2521B199"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2024.25</w:t>
            </w:r>
          </w:p>
        </w:tc>
        <w:tc>
          <w:tcPr>
            <w:tcW w:w="960" w:type="dxa"/>
            <w:hideMark/>
          </w:tcPr>
          <w:p w14:paraId="18A707F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2025.26</w:t>
            </w:r>
          </w:p>
        </w:tc>
        <w:tc>
          <w:tcPr>
            <w:tcW w:w="960" w:type="dxa"/>
            <w:hideMark/>
          </w:tcPr>
          <w:p w14:paraId="5AEA1A5F"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2026.27</w:t>
            </w:r>
          </w:p>
        </w:tc>
        <w:tc>
          <w:tcPr>
            <w:tcW w:w="960" w:type="dxa"/>
            <w:hideMark/>
          </w:tcPr>
          <w:p w14:paraId="6202A7D2"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2027.28</w:t>
            </w:r>
          </w:p>
        </w:tc>
        <w:tc>
          <w:tcPr>
            <w:tcW w:w="960" w:type="dxa"/>
            <w:hideMark/>
          </w:tcPr>
          <w:p w14:paraId="1AED000E"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2028.29</w:t>
            </w:r>
          </w:p>
        </w:tc>
        <w:tc>
          <w:tcPr>
            <w:tcW w:w="960" w:type="dxa"/>
            <w:hideMark/>
          </w:tcPr>
          <w:p w14:paraId="1127C79F"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2029.30</w:t>
            </w:r>
          </w:p>
        </w:tc>
        <w:tc>
          <w:tcPr>
            <w:tcW w:w="960" w:type="dxa"/>
            <w:hideMark/>
          </w:tcPr>
          <w:p w14:paraId="3E21CA85"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2030.31</w:t>
            </w:r>
          </w:p>
        </w:tc>
        <w:tc>
          <w:tcPr>
            <w:tcW w:w="960" w:type="dxa"/>
            <w:hideMark/>
          </w:tcPr>
          <w:p w14:paraId="31632D27"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Total</w:t>
            </w:r>
          </w:p>
        </w:tc>
      </w:tr>
      <w:tr w:rsidR="00AE22AB" w:rsidRPr="00F7157B" w14:paraId="1F899DA3" w14:textId="77777777" w:rsidTr="006C5E19">
        <w:trPr>
          <w:trHeight w:val="580"/>
        </w:trPr>
        <w:tc>
          <w:tcPr>
            <w:cnfStyle w:val="001000000000" w:firstRow="0" w:lastRow="0" w:firstColumn="1" w:lastColumn="0" w:oddVBand="0" w:evenVBand="0" w:oddHBand="0" w:evenHBand="0" w:firstRowFirstColumn="0" w:firstRowLastColumn="0" w:lastRowFirstColumn="0" w:lastRowLastColumn="0"/>
            <w:tcW w:w="2411" w:type="dxa"/>
            <w:vMerge/>
            <w:hideMark/>
          </w:tcPr>
          <w:p w14:paraId="49A8B9E8" w14:textId="51356C37" w:rsidR="00AE22AB" w:rsidRPr="00F7157B" w:rsidRDefault="00AE22AB" w:rsidP="00F7157B">
            <w:pPr>
              <w:jc w:val="center"/>
              <w:rPr>
                <w:rFonts w:ascii="Aptos Narrow" w:eastAsia="Times New Roman" w:hAnsi="Aptos Narrow" w:cs="Times New Roman"/>
                <w:color w:val="000000"/>
                <w:sz w:val="22"/>
                <w:szCs w:val="22"/>
                <w:lang w:eastAsia="en-GB"/>
              </w:rPr>
            </w:pPr>
          </w:p>
        </w:tc>
        <w:tc>
          <w:tcPr>
            <w:tcW w:w="960" w:type="dxa"/>
            <w:hideMark/>
          </w:tcPr>
          <w:p w14:paraId="68F0D67D"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7A61781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0849D04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12C8AC7C"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378DBF5A"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53F2C346"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233A3DA2"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c>
          <w:tcPr>
            <w:tcW w:w="960" w:type="dxa"/>
            <w:hideMark/>
          </w:tcPr>
          <w:p w14:paraId="0C5B243B" w14:textId="77777777" w:rsidR="00AE22AB" w:rsidRPr="00F7157B" w:rsidRDefault="00AE22AB" w:rsidP="00F7157B">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No. Homes</w:t>
            </w:r>
          </w:p>
        </w:tc>
      </w:tr>
      <w:tr w:rsidR="00F7157B" w:rsidRPr="00F7157B" w14:paraId="487E7965"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7D714483"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Social</w:t>
            </w:r>
          </w:p>
        </w:tc>
        <w:tc>
          <w:tcPr>
            <w:tcW w:w="960" w:type="dxa"/>
            <w:noWrap/>
            <w:hideMark/>
          </w:tcPr>
          <w:p w14:paraId="7D5E4EA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284 </w:t>
            </w:r>
          </w:p>
        </w:tc>
        <w:tc>
          <w:tcPr>
            <w:tcW w:w="960" w:type="dxa"/>
            <w:noWrap/>
            <w:hideMark/>
          </w:tcPr>
          <w:p w14:paraId="25FD0AB5"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280 </w:t>
            </w:r>
          </w:p>
        </w:tc>
        <w:tc>
          <w:tcPr>
            <w:tcW w:w="960" w:type="dxa"/>
            <w:noWrap/>
            <w:hideMark/>
          </w:tcPr>
          <w:p w14:paraId="77907CB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91 </w:t>
            </w:r>
          </w:p>
        </w:tc>
        <w:tc>
          <w:tcPr>
            <w:tcW w:w="960" w:type="dxa"/>
            <w:noWrap/>
            <w:hideMark/>
          </w:tcPr>
          <w:p w14:paraId="7D0D9D2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29 </w:t>
            </w:r>
          </w:p>
        </w:tc>
        <w:tc>
          <w:tcPr>
            <w:tcW w:w="960" w:type="dxa"/>
            <w:noWrap/>
            <w:hideMark/>
          </w:tcPr>
          <w:p w14:paraId="0E53846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350BB1D9"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102 </w:t>
            </w:r>
          </w:p>
        </w:tc>
        <w:tc>
          <w:tcPr>
            <w:tcW w:w="960" w:type="dxa"/>
            <w:noWrap/>
            <w:hideMark/>
          </w:tcPr>
          <w:p w14:paraId="1CB2956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137 </w:t>
            </w:r>
          </w:p>
        </w:tc>
        <w:tc>
          <w:tcPr>
            <w:tcW w:w="960" w:type="dxa"/>
            <w:noWrap/>
            <w:hideMark/>
          </w:tcPr>
          <w:p w14:paraId="0A1AFD92"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923 </w:t>
            </w:r>
          </w:p>
        </w:tc>
      </w:tr>
      <w:tr w:rsidR="00F7157B" w:rsidRPr="00F7157B" w14:paraId="3EDBB49E"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3703E9BD"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Affordable</w:t>
            </w:r>
          </w:p>
        </w:tc>
        <w:tc>
          <w:tcPr>
            <w:tcW w:w="960" w:type="dxa"/>
            <w:noWrap/>
            <w:hideMark/>
          </w:tcPr>
          <w:p w14:paraId="2C2ACD8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011B940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5 </w:t>
            </w:r>
          </w:p>
        </w:tc>
        <w:tc>
          <w:tcPr>
            <w:tcW w:w="960" w:type="dxa"/>
            <w:noWrap/>
            <w:hideMark/>
          </w:tcPr>
          <w:p w14:paraId="1A0A9E2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2462B85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7A474D2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1C674A9D"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41A633E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202176EA"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5 </w:t>
            </w:r>
          </w:p>
        </w:tc>
      </w:tr>
      <w:tr w:rsidR="00F7157B" w:rsidRPr="00F7157B" w14:paraId="3F010D77"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0DACE16D"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Shared Ownership</w:t>
            </w:r>
          </w:p>
        </w:tc>
        <w:tc>
          <w:tcPr>
            <w:tcW w:w="960" w:type="dxa"/>
            <w:noWrap/>
            <w:hideMark/>
          </w:tcPr>
          <w:p w14:paraId="3C50C5C6"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47 </w:t>
            </w:r>
          </w:p>
        </w:tc>
        <w:tc>
          <w:tcPr>
            <w:tcW w:w="960" w:type="dxa"/>
            <w:noWrap/>
            <w:hideMark/>
          </w:tcPr>
          <w:p w14:paraId="01C0191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158 </w:t>
            </w:r>
          </w:p>
        </w:tc>
        <w:tc>
          <w:tcPr>
            <w:tcW w:w="960" w:type="dxa"/>
            <w:noWrap/>
            <w:hideMark/>
          </w:tcPr>
          <w:p w14:paraId="418F713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10 </w:t>
            </w:r>
          </w:p>
        </w:tc>
        <w:tc>
          <w:tcPr>
            <w:tcW w:w="960" w:type="dxa"/>
            <w:noWrap/>
            <w:hideMark/>
          </w:tcPr>
          <w:p w14:paraId="36F7B12A"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575462B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0 </w:t>
            </w:r>
          </w:p>
        </w:tc>
        <w:tc>
          <w:tcPr>
            <w:tcW w:w="960" w:type="dxa"/>
            <w:noWrap/>
            <w:hideMark/>
          </w:tcPr>
          <w:p w14:paraId="5B5CB544"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25 </w:t>
            </w:r>
          </w:p>
        </w:tc>
        <w:tc>
          <w:tcPr>
            <w:tcW w:w="960" w:type="dxa"/>
            <w:noWrap/>
            <w:hideMark/>
          </w:tcPr>
          <w:p w14:paraId="0EA2CBEC"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 xml:space="preserve">205 </w:t>
            </w:r>
          </w:p>
        </w:tc>
        <w:tc>
          <w:tcPr>
            <w:tcW w:w="960" w:type="dxa"/>
            <w:noWrap/>
            <w:hideMark/>
          </w:tcPr>
          <w:p w14:paraId="1675C486"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445 </w:t>
            </w:r>
          </w:p>
        </w:tc>
      </w:tr>
      <w:tr w:rsidR="00F7157B" w:rsidRPr="00F7157B" w14:paraId="4D8EBFD1" w14:textId="77777777" w:rsidTr="006C5E19">
        <w:trPr>
          <w:trHeight w:val="300"/>
        </w:trPr>
        <w:tc>
          <w:tcPr>
            <w:cnfStyle w:val="001000000000" w:firstRow="0" w:lastRow="0" w:firstColumn="1" w:lastColumn="0" w:oddVBand="0" w:evenVBand="0" w:oddHBand="0" w:evenHBand="0" w:firstRowFirstColumn="0" w:firstRowLastColumn="0" w:lastRowFirstColumn="0" w:lastRowLastColumn="0"/>
            <w:tcW w:w="2411" w:type="dxa"/>
            <w:noWrap/>
            <w:hideMark/>
          </w:tcPr>
          <w:p w14:paraId="266E5E55" w14:textId="77777777" w:rsidR="00F7157B" w:rsidRPr="00F7157B" w:rsidRDefault="00F7157B" w:rsidP="00F7157B">
            <w:pPr>
              <w:rPr>
                <w:rFonts w:ascii="Aptos Narrow" w:eastAsia="Times New Roman" w:hAnsi="Aptos Narrow" w:cs="Times New Roman"/>
                <w:color w:val="000000"/>
                <w:sz w:val="22"/>
                <w:szCs w:val="22"/>
                <w:lang w:eastAsia="en-GB"/>
              </w:rPr>
            </w:pPr>
            <w:r w:rsidRPr="00F7157B">
              <w:rPr>
                <w:rFonts w:ascii="Aptos Narrow" w:eastAsia="Times New Roman" w:hAnsi="Aptos Narrow" w:cs="Times New Roman"/>
                <w:color w:val="000000"/>
                <w:sz w:val="22"/>
                <w:szCs w:val="22"/>
                <w:lang w:eastAsia="en-GB"/>
              </w:rPr>
              <w:t>Total</w:t>
            </w:r>
          </w:p>
        </w:tc>
        <w:tc>
          <w:tcPr>
            <w:tcW w:w="960" w:type="dxa"/>
            <w:noWrap/>
            <w:hideMark/>
          </w:tcPr>
          <w:p w14:paraId="73259D05"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331 </w:t>
            </w:r>
          </w:p>
        </w:tc>
        <w:tc>
          <w:tcPr>
            <w:tcW w:w="960" w:type="dxa"/>
            <w:noWrap/>
            <w:hideMark/>
          </w:tcPr>
          <w:p w14:paraId="0505C739"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443 </w:t>
            </w:r>
          </w:p>
        </w:tc>
        <w:tc>
          <w:tcPr>
            <w:tcW w:w="960" w:type="dxa"/>
            <w:noWrap/>
            <w:hideMark/>
          </w:tcPr>
          <w:p w14:paraId="49B899A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101 </w:t>
            </w:r>
          </w:p>
        </w:tc>
        <w:tc>
          <w:tcPr>
            <w:tcW w:w="960" w:type="dxa"/>
            <w:noWrap/>
            <w:hideMark/>
          </w:tcPr>
          <w:p w14:paraId="49EC054B"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29 </w:t>
            </w:r>
          </w:p>
        </w:tc>
        <w:tc>
          <w:tcPr>
            <w:tcW w:w="960" w:type="dxa"/>
            <w:noWrap/>
            <w:hideMark/>
          </w:tcPr>
          <w:p w14:paraId="7E93F5B8"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0 </w:t>
            </w:r>
          </w:p>
        </w:tc>
        <w:tc>
          <w:tcPr>
            <w:tcW w:w="960" w:type="dxa"/>
            <w:noWrap/>
            <w:hideMark/>
          </w:tcPr>
          <w:p w14:paraId="0D468E21"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127 </w:t>
            </w:r>
          </w:p>
        </w:tc>
        <w:tc>
          <w:tcPr>
            <w:tcW w:w="960" w:type="dxa"/>
            <w:noWrap/>
            <w:hideMark/>
          </w:tcPr>
          <w:p w14:paraId="66C74C3F"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342 </w:t>
            </w:r>
          </w:p>
        </w:tc>
        <w:tc>
          <w:tcPr>
            <w:tcW w:w="960" w:type="dxa"/>
            <w:noWrap/>
            <w:hideMark/>
          </w:tcPr>
          <w:p w14:paraId="06C4F8F0" w14:textId="77777777" w:rsidR="00F7157B" w:rsidRPr="00F7157B" w:rsidRDefault="00F7157B" w:rsidP="00F7157B">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F7157B">
              <w:rPr>
                <w:rFonts w:ascii="Aptos Narrow" w:eastAsia="Times New Roman" w:hAnsi="Aptos Narrow" w:cs="Times New Roman"/>
                <w:b/>
                <w:bCs/>
                <w:color w:val="000000"/>
                <w:sz w:val="22"/>
                <w:szCs w:val="22"/>
                <w:lang w:eastAsia="en-GB"/>
              </w:rPr>
              <w:t xml:space="preserve">1,373 </w:t>
            </w:r>
          </w:p>
        </w:tc>
      </w:tr>
    </w:tbl>
    <w:p w14:paraId="1019A594" w14:textId="77777777" w:rsidR="0086536F" w:rsidRDefault="0086536F">
      <w:pPr>
        <w:rPr>
          <w:rFonts w:ascii="Noto Sans" w:eastAsia="Calibri" w:hAnsi="Noto Sans" w:cs="Noto Sans"/>
          <w:b/>
          <w:bCs/>
          <w:color w:val="0070C0" w:themeColor="accent1"/>
          <w:sz w:val="36"/>
          <w:szCs w:val="36"/>
          <w:lang w:val="en-US" w:eastAsia="en-GB"/>
        </w:rPr>
      </w:pPr>
    </w:p>
    <w:tbl>
      <w:tblPr>
        <w:tblStyle w:val="GridTable1Light-Accent3"/>
        <w:tblW w:w="10452" w:type="dxa"/>
        <w:tblInd w:w="-714" w:type="dxa"/>
        <w:tblLook w:val="04A0" w:firstRow="1" w:lastRow="0" w:firstColumn="1" w:lastColumn="0" w:noHBand="0" w:noVBand="1"/>
      </w:tblPr>
      <w:tblGrid>
        <w:gridCol w:w="2580"/>
        <w:gridCol w:w="1056"/>
        <w:gridCol w:w="960"/>
        <w:gridCol w:w="960"/>
        <w:gridCol w:w="960"/>
        <w:gridCol w:w="960"/>
        <w:gridCol w:w="960"/>
        <w:gridCol w:w="960"/>
        <w:gridCol w:w="1056"/>
      </w:tblGrid>
      <w:tr w:rsidR="00661EB9" w:rsidRPr="00661EB9" w14:paraId="2BBC13EC" w14:textId="77777777" w:rsidTr="006C5E1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52" w:type="dxa"/>
            <w:gridSpan w:val="9"/>
            <w:shd w:val="clear" w:color="auto" w:fill="0070C0"/>
          </w:tcPr>
          <w:p w14:paraId="740CD7B4" w14:textId="59D723EE" w:rsidR="00661EB9" w:rsidRPr="00661EB9" w:rsidRDefault="00661EB9" w:rsidP="00661EB9">
            <w:pPr>
              <w:jc w:val="center"/>
              <w:rPr>
                <w:rFonts w:ascii="Aptos Narrow" w:eastAsia="Times New Roman" w:hAnsi="Aptos Narrow" w:cs="Times New Roman"/>
                <w:b w:val="0"/>
                <w:bCs w:val="0"/>
                <w:color w:val="000000"/>
                <w:sz w:val="22"/>
                <w:szCs w:val="22"/>
                <w:lang w:eastAsia="en-GB"/>
              </w:rPr>
            </w:pPr>
            <w:r w:rsidRPr="002E63BB">
              <w:rPr>
                <w:rFonts w:ascii="Aptos Narrow" w:eastAsia="Times New Roman" w:hAnsi="Aptos Narrow" w:cs="Times New Roman"/>
                <w:color w:val="FFFFFF" w:themeColor="background1"/>
                <w:lang w:eastAsia="en-GB"/>
              </w:rPr>
              <w:t>Expenditure on new homes, by year</w:t>
            </w:r>
          </w:p>
        </w:tc>
      </w:tr>
      <w:tr w:rsidR="00661EB9" w:rsidRPr="00661EB9" w14:paraId="774B59EA"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580" w:type="dxa"/>
            <w:vMerge w:val="restart"/>
            <w:hideMark/>
          </w:tcPr>
          <w:p w14:paraId="69EDC4B3" w14:textId="77777777" w:rsidR="00661EB9" w:rsidRPr="00661EB9" w:rsidRDefault="00661EB9" w:rsidP="00661EB9">
            <w:pPr>
              <w:jc w:val="center"/>
              <w:rPr>
                <w:rFonts w:ascii="Aptos Narrow" w:eastAsia="Times New Roman" w:hAnsi="Aptos Narrow" w:cs="Times New Roman"/>
                <w:b w:val="0"/>
                <w:bCs w:val="0"/>
                <w:color w:val="000000"/>
                <w:sz w:val="22"/>
                <w:szCs w:val="22"/>
                <w:lang w:eastAsia="en-GB"/>
              </w:rPr>
            </w:pPr>
            <w:r w:rsidRPr="00661EB9">
              <w:rPr>
                <w:rFonts w:ascii="Aptos Narrow" w:eastAsia="Times New Roman" w:hAnsi="Aptos Narrow" w:cs="Times New Roman"/>
                <w:color w:val="000000"/>
                <w:sz w:val="22"/>
                <w:szCs w:val="22"/>
                <w:lang w:eastAsia="en-GB"/>
              </w:rPr>
              <w:t>New Homes</w:t>
            </w:r>
          </w:p>
          <w:p w14:paraId="4EB0508A" w14:textId="61A009A0" w:rsidR="00661EB9" w:rsidRPr="00661EB9" w:rsidRDefault="00661EB9" w:rsidP="00661EB9">
            <w:pPr>
              <w:jc w:val="center"/>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Expenditure</w:t>
            </w:r>
          </w:p>
        </w:tc>
        <w:tc>
          <w:tcPr>
            <w:tcW w:w="1056" w:type="dxa"/>
            <w:hideMark/>
          </w:tcPr>
          <w:p w14:paraId="5D0E9D4A"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2024.25</w:t>
            </w:r>
          </w:p>
        </w:tc>
        <w:tc>
          <w:tcPr>
            <w:tcW w:w="960" w:type="dxa"/>
            <w:hideMark/>
          </w:tcPr>
          <w:p w14:paraId="14B513F3"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2025.26</w:t>
            </w:r>
          </w:p>
        </w:tc>
        <w:tc>
          <w:tcPr>
            <w:tcW w:w="960" w:type="dxa"/>
            <w:hideMark/>
          </w:tcPr>
          <w:p w14:paraId="01CB129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2026.27</w:t>
            </w:r>
          </w:p>
        </w:tc>
        <w:tc>
          <w:tcPr>
            <w:tcW w:w="960" w:type="dxa"/>
            <w:hideMark/>
          </w:tcPr>
          <w:p w14:paraId="6695F9DC"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2027.28</w:t>
            </w:r>
          </w:p>
        </w:tc>
        <w:tc>
          <w:tcPr>
            <w:tcW w:w="960" w:type="dxa"/>
            <w:hideMark/>
          </w:tcPr>
          <w:p w14:paraId="229F4B30"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2028.29</w:t>
            </w:r>
          </w:p>
        </w:tc>
        <w:tc>
          <w:tcPr>
            <w:tcW w:w="960" w:type="dxa"/>
            <w:hideMark/>
          </w:tcPr>
          <w:p w14:paraId="541427E2"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2029.30</w:t>
            </w:r>
          </w:p>
        </w:tc>
        <w:tc>
          <w:tcPr>
            <w:tcW w:w="960" w:type="dxa"/>
            <w:hideMark/>
          </w:tcPr>
          <w:p w14:paraId="244AF2D4"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2030.31</w:t>
            </w:r>
          </w:p>
        </w:tc>
        <w:tc>
          <w:tcPr>
            <w:tcW w:w="1056" w:type="dxa"/>
            <w:hideMark/>
          </w:tcPr>
          <w:p w14:paraId="6A526DC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Total</w:t>
            </w:r>
          </w:p>
        </w:tc>
      </w:tr>
      <w:tr w:rsidR="00661EB9" w:rsidRPr="00661EB9" w14:paraId="4AD74078" w14:textId="77777777" w:rsidTr="006C5E19">
        <w:trPr>
          <w:trHeight w:val="290"/>
        </w:trPr>
        <w:tc>
          <w:tcPr>
            <w:cnfStyle w:val="001000000000" w:firstRow="0" w:lastRow="0" w:firstColumn="1" w:lastColumn="0" w:oddVBand="0" w:evenVBand="0" w:oddHBand="0" w:evenHBand="0" w:firstRowFirstColumn="0" w:firstRowLastColumn="0" w:lastRowFirstColumn="0" w:lastRowLastColumn="0"/>
            <w:tcW w:w="2580" w:type="dxa"/>
            <w:vMerge/>
            <w:hideMark/>
          </w:tcPr>
          <w:p w14:paraId="20C55D4C" w14:textId="773A0372" w:rsidR="00661EB9" w:rsidRPr="00661EB9" w:rsidRDefault="00661EB9" w:rsidP="00661EB9">
            <w:pPr>
              <w:jc w:val="center"/>
              <w:rPr>
                <w:rFonts w:ascii="Aptos Narrow" w:eastAsia="Times New Roman" w:hAnsi="Aptos Narrow" w:cs="Times New Roman"/>
                <w:color w:val="000000"/>
                <w:sz w:val="22"/>
                <w:szCs w:val="22"/>
                <w:lang w:eastAsia="en-GB"/>
              </w:rPr>
            </w:pPr>
          </w:p>
        </w:tc>
        <w:tc>
          <w:tcPr>
            <w:tcW w:w="1056" w:type="dxa"/>
            <w:hideMark/>
          </w:tcPr>
          <w:p w14:paraId="4E98E6AE"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5AD67248"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6FEB2286"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2A985DE0"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32562322"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2D8E9124"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960" w:type="dxa"/>
            <w:hideMark/>
          </w:tcPr>
          <w:p w14:paraId="5162D7FC"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c>
          <w:tcPr>
            <w:tcW w:w="1056" w:type="dxa"/>
            <w:hideMark/>
          </w:tcPr>
          <w:p w14:paraId="5804CA71" w14:textId="77777777" w:rsidR="00661EB9" w:rsidRPr="00661EB9" w:rsidRDefault="00661EB9" w:rsidP="00661EB9">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£000</w:t>
            </w:r>
          </w:p>
        </w:tc>
      </w:tr>
      <w:tr w:rsidR="00661EB9" w:rsidRPr="00661EB9" w14:paraId="67001EDB" w14:textId="77777777" w:rsidTr="006C5E19">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ED11941" w14:textId="77777777" w:rsidR="00661EB9" w:rsidRPr="00661EB9" w:rsidRDefault="00661EB9" w:rsidP="00661EB9">
            <w:pPr>
              <w:rPr>
                <w:rFonts w:ascii="Aptos Narrow" w:eastAsia="Times New Roman" w:hAnsi="Aptos Narrow" w:cs="Times New Roman"/>
                <w:color w:val="000000"/>
                <w:sz w:val="22"/>
                <w:szCs w:val="22"/>
                <w:lang w:eastAsia="en-GB"/>
              </w:rPr>
            </w:pPr>
            <w:r w:rsidRPr="00661EB9">
              <w:rPr>
                <w:rFonts w:ascii="Aptos Narrow" w:eastAsia="Times New Roman" w:hAnsi="Aptos Narrow" w:cs="Times New Roman"/>
                <w:color w:val="000000"/>
                <w:sz w:val="22"/>
                <w:szCs w:val="22"/>
                <w:lang w:eastAsia="en-GB"/>
              </w:rPr>
              <w:t>Total</w:t>
            </w:r>
          </w:p>
        </w:tc>
        <w:tc>
          <w:tcPr>
            <w:tcW w:w="1056" w:type="dxa"/>
            <w:noWrap/>
            <w:hideMark/>
          </w:tcPr>
          <w:p w14:paraId="76C2AE66"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£170,228</w:t>
            </w:r>
          </w:p>
        </w:tc>
        <w:tc>
          <w:tcPr>
            <w:tcW w:w="960" w:type="dxa"/>
            <w:noWrap/>
            <w:hideMark/>
          </w:tcPr>
          <w:p w14:paraId="25A96C7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£89,004</w:t>
            </w:r>
          </w:p>
        </w:tc>
        <w:tc>
          <w:tcPr>
            <w:tcW w:w="960" w:type="dxa"/>
            <w:noWrap/>
            <w:hideMark/>
          </w:tcPr>
          <w:p w14:paraId="6FB2591B"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£46,045</w:t>
            </w:r>
          </w:p>
        </w:tc>
        <w:tc>
          <w:tcPr>
            <w:tcW w:w="960" w:type="dxa"/>
            <w:noWrap/>
            <w:hideMark/>
          </w:tcPr>
          <w:p w14:paraId="28115F2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£49,641</w:t>
            </w:r>
          </w:p>
        </w:tc>
        <w:tc>
          <w:tcPr>
            <w:tcW w:w="960" w:type="dxa"/>
            <w:noWrap/>
            <w:hideMark/>
          </w:tcPr>
          <w:p w14:paraId="3D7BA525"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£44,048</w:t>
            </w:r>
          </w:p>
        </w:tc>
        <w:tc>
          <w:tcPr>
            <w:tcW w:w="960" w:type="dxa"/>
            <w:noWrap/>
            <w:hideMark/>
          </w:tcPr>
          <w:p w14:paraId="4B7B57B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£0</w:t>
            </w:r>
          </w:p>
        </w:tc>
        <w:tc>
          <w:tcPr>
            <w:tcW w:w="960" w:type="dxa"/>
            <w:noWrap/>
            <w:hideMark/>
          </w:tcPr>
          <w:p w14:paraId="55E0775F"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£0</w:t>
            </w:r>
          </w:p>
        </w:tc>
        <w:tc>
          <w:tcPr>
            <w:tcW w:w="1056" w:type="dxa"/>
            <w:noWrap/>
            <w:hideMark/>
          </w:tcPr>
          <w:p w14:paraId="1F504F54" w14:textId="77777777" w:rsidR="00661EB9" w:rsidRPr="00661EB9" w:rsidRDefault="00661EB9" w:rsidP="00661EB9">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661EB9">
              <w:rPr>
                <w:rFonts w:ascii="Aptos Narrow" w:eastAsia="Times New Roman" w:hAnsi="Aptos Narrow" w:cs="Times New Roman"/>
                <w:b/>
                <w:bCs/>
                <w:color w:val="000000"/>
                <w:sz w:val="22"/>
                <w:szCs w:val="22"/>
                <w:lang w:eastAsia="en-GB"/>
              </w:rPr>
              <w:t>£398,967</w:t>
            </w:r>
          </w:p>
        </w:tc>
      </w:tr>
    </w:tbl>
    <w:p w14:paraId="51F32801" w14:textId="77777777" w:rsidR="0086536F" w:rsidRDefault="0086536F">
      <w:pPr>
        <w:rPr>
          <w:rFonts w:ascii="Noto Sans" w:eastAsia="Calibri" w:hAnsi="Noto Sans" w:cs="Noto Sans"/>
          <w:b/>
          <w:bCs/>
          <w:color w:val="0070C0" w:themeColor="accent1"/>
          <w:sz w:val="36"/>
          <w:szCs w:val="36"/>
          <w:lang w:val="en-US" w:eastAsia="en-GB"/>
        </w:rPr>
      </w:pPr>
    </w:p>
    <w:tbl>
      <w:tblPr>
        <w:tblStyle w:val="GridTable1Light-Accent3"/>
        <w:tblW w:w="10452" w:type="dxa"/>
        <w:tblInd w:w="-714" w:type="dxa"/>
        <w:tblLook w:val="04A0" w:firstRow="1" w:lastRow="0" w:firstColumn="1" w:lastColumn="0" w:noHBand="0" w:noVBand="1"/>
      </w:tblPr>
      <w:tblGrid>
        <w:gridCol w:w="2580"/>
        <w:gridCol w:w="1056"/>
        <w:gridCol w:w="960"/>
        <w:gridCol w:w="960"/>
        <w:gridCol w:w="960"/>
        <w:gridCol w:w="960"/>
        <w:gridCol w:w="960"/>
        <w:gridCol w:w="960"/>
        <w:gridCol w:w="1056"/>
      </w:tblGrid>
      <w:tr w:rsidR="003248C8" w:rsidRPr="003248C8" w14:paraId="7C36B354" w14:textId="77777777" w:rsidTr="004F09CF">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52" w:type="dxa"/>
            <w:gridSpan w:val="9"/>
            <w:shd w:val="clear" w:color="auto" w:fill="0070C0" w:themeFill="accent3"/>
          </w:tcPr>
          <w:p w14:paraId="602EBDDD" w14:textId="71FC1877" w:rsidR="003248C8" w:rsidRPr="003248C8" w:rsidRDefault="003248C8" w:rsidP="003248C8">
            <w:pPr>
              <w:jc w:val="center"/>
              <w:rPr>
                <w:rFonts w:ascii="Aptos Narrow" w:eastAsia="Times New Roman" w:hAnsi="Aptos Narrow" w:cs="Times New Roman"/>
                <w:b w:val="0"/>
                <w:bCs w:val="0"/>
                <w:color w:val="000000"/>
                <w:sz w:val="22"/>
                <w:szCs w:val="22"/>
                <w:lang w:eastAsia="en-GB"/>
              </w:rPr>
            </w:pPr>
            <w:r w:rsidRPr="00293DC7">
              <w:rPr>
                <w:rFonts w:ascii="Aptos Narrow" w:eastAsia="Times New Roman" w:hAnsi="Aptos Narrow" w:cs="Times New Roman"/>
                <w:color w:val="FFFFFF" w:themeColor="background1"/>
                <w:lang w:eastAsia="en-GB"/>
              </w:rPr>
              <w:t>Financing new homes, by year</w:t>
            </w:r>
            <w:r w:rsidRPr="00293DC7">
              <w:rPr>
                <w:rFonts w:ascii="Aptos Narrow" w:eastAsia="Times New Roman" w:hAnsi="Aptos Narrow" w:cs="Times New Roman"/>
                <w:color w:val="FFFFFF" w:themeColor="background1"/>
                <w:lang w:eastAsia="en-GB"/>
              </w:rPr>
              <w:tab/>
            </w:r>
          </w:p>
        </w:tc>
      </w:tr>
      <w:tr w:rsidR="003248C8" w:rsidRPr="003248C8" w14:paraId="3E20B43B"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vMerge w:val="restart"/>
            <w:hideMark/>
          </w:tcPr>
          <w:p w14:paraId="1058D1FF" w14:textId="77777777" w:rsidR="003248C8" w:rsidRPr="003248C8" w:rsidRDefault="003248C8" w:rsidP="003248C8">
            <w:pPr>
              <w:jc w:val="center"/>
              <w:rPr>
                <w:rFonts w:ascii="Aptos Narrow" w:eastAsia="Times New Roman" w:hAnsi="Aptos Narrow" w:cs="Times New Roman"/>
                <w:b w:val="0"/>
                <w:bCs w:val="0"/>
                <w:color w:val="000000"/>
                <w:sz w:val="22"/>
                <w:szCs w:val="22"/>
                <w:lang w:eastAsia="en-GB"/>
              </w:rPr>
            </w:pPr>
            <w:r w:rsidRPr="003248C8">
              <w:rPr>
                <w:rFonts w:ascii="Aptos Narrow" w:eastAsia="Times New Roman" w:hAnsi="Aptos Narrow" w:cs="Times New Roman"/>
                <w:color w:val="000000"/>
                <w:sz w:val="22"/>
                <w:szCs w:val="22"/>
                <w:lang w:eastAsia="en-GB"/>
              </w:rPr>
              <w:t>New Homes</w:t>
            </w:r>
          </w:p>
          <w:p w14:paraId="45A9C0A9" w14:textId="3A7CCDBC" w:rsidR="003248C8" w:rsidRPr="003248C8" w:rsidRDefault="003248C8" w:rsidP="003248C8">
            <w:pPr>
              <w:jc w:val="cente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Financing</w:t>
            </w:r>
          </w:p>
        </w:tc>
        <w:tc>
          <w:tcPr>
            <w:tcW w:w="1056" w:type="dxa"/>
            <w:hideMark/>
          </w:tcPr>
          <w:p w14:paraId="1C50DEA0"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2024.25</w:t>
            </w:r>
          </w:p>
        </w:tc>
        <w:tc>
          <w:tcPr>
            <w:tcW w:w="960" w:type="dxa"/>
            <w:hideMark/>
          </w:tcPr>
          <w:p w14:paraId="657961A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2025.26</w:t>
            </w:r>
          </w:p>
        </w:tc>
        <w:tc>
          <w:tcPr>
            <w:tcW w:w="960" w:type="dxa"/>
            <w:hideMark/>
          </w:tcPr>
          <w:p w14:paraId="7CA5744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2026.27</w:t>
            </w:r>
          </w:p>
        </w:tc>
        <w:tc>
          <w:tcPr>
            <w:tcW w:w="960" w:type="dxa"/>
            <w:hideMark/>
          </w:tcPr>
          <w:p w14:paraId="726BA63B"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2027.28</w:t>
            </w:r>
          </w:p>
        </w:tc>
        <w:tc>
          <w:tcPr>
            <w:tcW w:w="960" w:type="dxa"/>
            <w:hideMark/>
          </w:tcPr>
          <w:p w14:paraId="26D513CE"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2028.29</w:t>
            </w:r>
          </w:p>
        </w:tc>
        <w:tc>
          <w:tcPr>
            <w:tcW w:w="960" w:type="dxa"/>
            <w:hideMark/>
          </w:tcPr>
          <w:p w14:paraId="57658EB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2029.30</w:t>
            </w:r>
          </w:p>
        </w:tc>
        <w:tc>
          <w:tcPr>
            <w:tcW w:w="960" w:type="dxa"/>
            <w:hideMark/>
          </w:tcPr>
          <w:p w14:paraId="6E21DEB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2030.31</w:t>
            </w:r>
          </w:p>
        </w:tc>
        <w:tc>
          <w:tcPr>
            <w:tcW w:w="1056" w:type="dxa"/>
            <w:hideMark/>
          </w:tcPr>
          <w:p w14:paraId="246B296B"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Total</w:t>
            </w:r>
          </w:p>
        </w:tc>
      </w:tr>
      <w:tr w:rsidR="003248C8" w:rsidRPr="003248C8" w14:paraId="1BF6D3CC"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vMerge/>
            <w:hideMark/>
          </w:tcPr>
          <w:p w14:paraId="07AF046B" w14:textId="1E716BFF" w:rsidR="003248C8" w:rsidRPr="003248C8" w:rsidRDefault="003248C8" w:rsidP="003248C8">
            <w:pPr>
              <w:jc w:val="center"/>
              <w:rPr>
                <w:rFonts w:ascii="Aptos Narrow" w:eastAsia="Times New Roman" w:hAnsi="Aptos Narrow" w:cs="Times New Roman"/>
                <w:color w:val="000000"/>
                <w:sz w:val="22"/>
                <w:szCs w:val="22"/>
                <w:lang w:eastAsia="en-GB"/>
              </w:rPr>
            </w:pPr>
          </w:p>
        </w:tc>
        <w:tc>
          <w:tcPr>
            <w:tcW w:w="1056" w:type="dxa"/>
            <w:hideMark/>
          </w:tcPr>
          <w:p w14:paraId="60492D33"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7257DD6F"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2FD6D859"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60368CE5"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27C820BC"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439C8338"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960" w:type="dxa"/>
            <w:hideMark/>
          </w:tcPr>
          <w:p w14:paraId="6662DAA7"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c>
          <w:tcPr>
            <w:tcW w:w="1056" w:type="dxa"/>
            <w:hideMark/>
          </w:tcPr>
          <w:p w14:paraId="796B144D" w14:textId="77777777" w:rsidR="003248C8" w:rsidRPr="003248C8" w:rsidRDefault="003248C8" w:rsidP="003248C8">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£000</w:t>
            </w:r>
          </w:p>
        </w:tc>
      </w:tr>
      <w:tr w:rsidR="003248C8" w:rsidRPr="003248C8" w14:paraId="740D3EB4"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6727FC78"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Retained RTB receipts</w:t>
            </w:r>
          </w:p>
        </w:tc>
        <w:tc>
          <w:tcPr>
            <w:tcW w:w="1056" w:type="dxa"/>
            <w:noWrap/>
            <w:hideMark/>
          </w:tcPr>
          <w:p w14:paraId="040D6CC0"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£8,172</w:t>
            </w:r>
          </w:p>
        </w:tc>
        <w:tc>
          <w:tcPr>
            <w:tcW w:w="960" w:type="dxa"/>
            <w:noWrap/>
            <w:hideMark/>
          </w:tcPr>
          <w:p w14:paraId="1211BD7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£7,432</w:t>
            </w:r>
          </w:p>
        </w:tc>
        <w:tc>
          <w:tcPr>
            <w:tcW w:w="960" w:type="dxa"/>
            <w:noWrap/>
            <w:hideMark/>
          </w:tcPr>
          <w:p w14:paraId="4D9E7584"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£8,600</w:t>
            </w:r>
          </w:p>
        </w:tc>
        <w:tc>
          <w:tcPr>
            <w:tcW w:w="960" w:type="dxa"/>
            <w:noWrap/>
            <w:hideMark/>
          </w:tcPr>
          <w:p w14:paraId="530F2963"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£6,313</w:t>
            </w:r>
          </w:p>
        </w:tc>
        <w:tc>
          <w:tcPr>
            <w:tcW w:w="960" w:type="dxa"/>
            <w:noWrap/>
            <w:hideMark/>
          </w:tcPr>
          <w:p w14:paraId="07B38C0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£5,344</w:t>
            </w:r>
          </w:p>
        </w:tc>
        <w:tc>
          <w:tcPr>
            <w:tcW w:w="960" w:type="dxa"/>
            <w:noWrap/>
            <w:hideMark/>
          </w:tcPr>
          <w:p w14:paraId="0E1023A4"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1C34136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14D96BE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£35,862</w:t>
            </w:r>
          </w:p>
        </w:tc>
      </w:tr>
      <w:tr w:rsidR="003248C8" w:rsidRPr="003248C8" w14:paraId="0A069425"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B2B6BAA"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Capital Grant</w:t>
            </w:r>
          </w:p>
        </w:tc>
        <w:tc>
          <w:tcPr>
            <w:tcW w:w="1056" w:type="dxa"/>
            <w:noWrap/>
            <w:hideMark/>
          </w:tcPr>
          <w:p w14:paraId="0BCE1E5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£17,736</w:t>
            </w:r>
          </w:p>
        </w:tc>
        <w:tc>
          <w:tcPr>
            <w:tcW w:w="960" w:type="dxa"/>
            <w:noWrap/>
            <w:hideMark/>
          </w:tcPr>
          <w:p w14:paraId="7D6FCC2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£7,567</w:t>
            </w:r>
          </w:p>
        </w:tc>
        <w:tc>
          <w:tcPr>
            <w:tcW w:w="960" w:type="dxa"/>
            <w:noWrap/>
            <w:hideMark/>
          </w:tcPr>
          <w:p w14:paraId="44F88D86"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0E5A29E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3406E6DA"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07D301CE"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44F8EFB0"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1D10011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£25,303</w:t>
            </w:r>
          </w:p>
        </w:tc>
      </w:tr>
      <w:tr w:rsidR="003248C8" w:rsidRPr="003248C8" w14:paraId="42F455D4" w14:textId="77777777" w:rsidTr="003248C8">
        <w:trPr>
          <w:trHeight w:val="29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048C0F28"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Borrowing &amp; other funding</w:t>
            </w:r>
          </w:p>
        </w:tc>
        <w:tc>
          <w:tcPr>
            <w:tcW w:w="1056" w:type="dxa"/>
            <w:noWrap/>
            <w:hideMark/>
          </w:tcPr>
          <w:p w14:paraId="0C2E1F51"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£144,320</w:t>
            </w:r>
          </w:p>
        </w:tc>
        <w:tc>
          <w:tcPr>
            <w:tcW w:w="960" w:type="dxa"/>
            <w:noWrap/>
            <w:hideMark/>
          </w:tcPr>
          <w:p w14:paraId="6074193A"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£74,006</w:t>
            </w:r>
          </w:p>
        </w:tc>
        <w:tc>
          <w:tcPr>
            <w:tcW w:w="960" w:type="dxa"/>
            <w:noWrap/>
            <w:hideMark/>
          </w:tcPr>
          <w:p w14:paraId="60F8A5C1"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£37,444</w:t>
            </w:r>
          </w:p>
        </w:tc>
        <w:tc>
          <w:tcPr>
            <w:tcW w:w="960" w:type="dxa"/>
            <w:noWrap/>
            <w:hideMark/>
          </w:tcPr>
          <w:p w14:paraId="3DFBB53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£43,328</w:t>
            </w:r>
          </w:p>
        </w:tc>
        <w:tc>
          <w:tcPr>
            <w:tcW w:w="960" w:type="dxa"/>
            <w:noWrap/>
            <w:hideMark/>
          </w:tcPr>
          <w:p w14:paraId="7C646349"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£38,703</w:t>
            </w:r>
          </w:p>
        </w:tc>
        <w:tc>
          <w:tcPr>
            <w:tcW w:w="960" w:type="dxa"/>
            <w:noWrap/>
            <w:hideMark/>
          </w:tcPr>
          <w:p w14:paraId="3241D2F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960" w:type="dxa"/>
            <w:noWrap/>
            <w:hideMark/>
          </w:tcPr>
          <w:p w14:paraId="224739DB"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£0</w:t>
            </w:r>
          </w:p>
        </w:tc>
        <w:tc>
          <w:tcPr>
            <w:tcW w:w="1056" w:type="dxa"/>
            <w:noWrap/>
            <w:hideMark/>
          </w:tcPr>
          <w:p w14:paraId="21833E2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£337,801</w:t>
            </w:r>
          </w:p>
        </w:tc>
      </w:tr>
      <w:tr w:rsidR="003248C8" w:rsidRPr="003248C8" w14:paraId="3B260A69" w14:textId="77777777" w:rsidTr="003248C8">
        <w:trPr>
          <w:trHeight w:val="300"/>
        </w:trPr>
        <w:tc>
          <w:tcPr>
            <w:cnfStyle w:val="001000000000" w:firstRow="0" w:lastRow="0" w:firstColumn="1" w:lastColumn="0" w:oddVBand="0" w:evenVBand="0" w:oddHBand="0" w:evenHBand="0" w:firstRowFirstColumn="0" w:firstRowLastColumn="0" w:lastRowFirstColumn="0" w:lastRowLastColumn="0"/>
            <w:tcW w:w="2580" w:type="dxa"/>
            <w:noWrap/>
            <w:hideMark/>
          </w:tcPr>
          <w:p w14:paraId="328D82EE" w14:textId="77777777" w:rsidR="003248C8" w:rsidRPr="003248C8" w:rsidRDefault="003248C8" w:rsidP="003248C8">
            <w:pPr>
              <w:rPr>
                <w:rFonts w:ascii="Aptos Narrow" w:eastAsia="Times New Roman" w:hAnsi="Aptos Narrow" w:cs="Times New Roman"/>
                <w:color w:val="000000"/>
                <w:sz w:val="22"/>
                <w:szCs w:val="22"/>
                <w:lang w:eastAsia="en-GB"/>
              </w:rPr>
            </w:pPr>
            <w:r w:rsidRPr="003248C8">
              <w:rPr>
                <w:rFonts w:ascii="Aptos Narrow" w:eastAsia="Times New Roman" w:hAnsi="Aptos Narrow" w:cs="Times New Roman"/>
                <w:color w:val="000000"/>
                <w:sz w:val="22"/>
                <w:szCs w:val="22"/>
                <w:lang w:eastAsia="en-GB"/>
              </w:rPr>
              <w:t>Total</w:t>
            </w:r>
          </w:p>
        </w:tc>
        <w:tc>
          <w:tcPr>
            <w:tcW w:w="1056" w:type="dxa"/>
            <w:noWrap/>
            <w:hideMark/>
          </w:tcPr>
          <w:p w14:paraId="79E4A0ED"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£170,228</w:t>
            </w:r>
          </w:p>
        </w:tc>
        <w:tc>
          <w:tcPr>
            <w:tcW w:w="960" w:type="dxa"/>
            <w:noWrap/>
            <w:hideMark/>
          </w:tcPr>
          <w:p w14:paraId="52FE9457"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£89,004</w:t>
            </w:r>
          </w:p>
        </w:tc>
        <w:tc>
          <w:tcPr>
            <w:tcW w:w="960" w:type="dxa"/>
            <w:noWrap/>
            <w:hideMark/>
          </w:tcPr>
          <w:p w14:paraId="0B8DAB58"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£46,045</w:t>
            </w:r>
          </w:p>
        </w:tc>
        <w:tc>
          <w:tcPr>
            <w:tcW w:w="960" w:type="dxa"/>
            <w:noWrap/>
            <w:hideMark/>
          </w:tcPr>
          <w:p w14:paraId="54F30B5C"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£49,641</w:t>
            </w:r>
          </w:p>
        </w:tc>
        <w:tc>
          <w:tcPr>
            <w:tcW w:w="960" w:type="dxa"/>
            <w:noWrap/>
            <w:hideMark/>
          </w:tcPr>
          <w:p w14:paraId="0B07B1B3"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£44,048</w:t>
            </w:r>
          </w:p>
        </w:tc>
        <w:tc>
          <w:tcPr>
            <w:tcW w:w="960" w:type="dxa"/>
            <w:noWrap/>
            <w:hideMark/>
          </w:tcPr>
          <w:p w14:paraId="4138DB5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£0</w:t>
            </w:r>
          </w:p>
        </w:tc>
        <w:tc>
          <w:tcPr>
            <w:tcW w:w="960" w:type="dxa"/>
            <w:noWrap/>
            <w:hideMark/>
          </w:tcPr>
          <w:p w14:paraId="3D449FF5"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£0</w:t>
            </w:r>
          </w:p>
        </w:tc>
        <w:tc>
          <w:tcPr>
            <w:tcW w:w="1056" w:type="dxa"/>
            <w:noWrap/>
            <w:hideMark/>
          </w:tcPr>
          <w:p w14:paraId="0CB948AF" w14:textId="77777777" w:rsidR="003248C8" w:rsidRPr="003248C8" w:rsidRDefault="003248C8" w:rsidP="003248C8">
            <w:pPr>
              <w:jc w:val="right"/>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GB"/>
              </w:rPr>
            </w:pPr>
            <w:r w:rsidRPr="003248C8">
              <w:rPr>
                <w:rFonts w:ascii="Aptos Narrow" w:eastAsia="Times New Roman" w:hAnsi="Aptos Narrow" w:cs="Times New Roman"/>
                <w:b/>
                <w:bCs/>
                <w:color w:val="000000"/>
                <w:sz w:val="22"/>
                <w:szCs w:val="22"/>
                <w:lang w:eastAsia="en-GB"/>
              </w:rPr>
              <w:t>£398,967</w:t>
            </w:r>
          </w:p>
        </w:tc>
      </w:tr>
    </w:tbl>
    <w:p w14:paraId="141463FA" w14:textId="77777777" w:rsidR="0086536F" w:rsidRDefault="0086536F">
      <w:pPr>
        <w:rPr>
          <w:rFonts w:ascii="Noto Sans" w:eastAsia="Calibri" w:hAnsi="Noto Sans" w:cs="Noto Sans"/>
          <w:b/>
          <w:bCs/>
          <w:color w:val="0070C0" w:themeColor="accent1"/>
          <w:sz w:val="36"/>
          <w:szCs w:val="36"/>
          <w:lang w:val="en-US" w:eastAsia="en-GB"/>
        </w:rPr>
      </w:pPr>
    </w:p>
    <w:p w14:paraId="7B020573" w14:textId="77777777" w:rsidR="004C4512" w:rsidRDefault="004C4512">
      <w:pPr>
        <w:rPr>
          <w:rFonts w:ascii="Noto Sans" w:eastAsia="Calibri" w:hAnsi="Noto Sans" w:cs="Noto Sans"/>
          <w:b/>
          <w:bCs/>
          <w:color w:val="0070C0" w:themeColor="accent1"/>
          <w:sz w:val="36"/>
          <w:szCs w:val="36"/>
          <w:lang w:val="en-US" w:eastAsia="en-GB"/>
        </w:rPr>
      </w:pPr>
      <w:r>
        <w:rPr>
          <w:rFonts w:ascii="Noto Sans" w:eastAsia="Calibri" w:hAnsi="Noto Sans" w:cs="Noto Sans"/>
          <w:b/>
          <w:bCs/>
          <w:color w:val="0070C0" w:themeColor="accent1"/>
          <w:sz w:val="36"/>
          <w:szCs w:val="36"/>
          <w:lang w:val="en-US" w:eastAsia="en-GB"/>
        </w:rPr>
        <w:br w:type="page"/>
      </w:r>
    </w:p>
    <w:p w14:paraId="0A8AFFE9" w14:textId="24917353" w:rsidR="000C23B4" w:rsidRDefault="000C23B4" w:rsidP="00D33A64">
      <w:pPr>
        <w:pStyle w:val="ListParagraph"/>
        <w:numPr>
          <w:ilvl w:val="0"/>
          <w:numId w:val="11"/>
        </w:numPr>
        <w:ind w:left="567" w:hanging="567"/>
        <w:rPr>
          <w:rFonts w:ascii="Noto Sans" w:eastAsia="Calibri" w:hAnsi="Noto Sans" w:cs="Noto Sans"/>
          <w:b/>
          <w:bCs/>
          <w:color w:val="0070C0" w:themeColor="accent1"/>
          <w:sz w:val="36"/>
          <w:szCs w:val="36"/>
          <w:lang w:val="en-US" w:eastAsia="en-GB"/>
        </w:rPr>
      </w:pPr>
      <w:r w:rsidRPr="000C23B4">
        <w:rPr>
          <w:rFonts w:ascii="Noto Sans" w:eastAsia="Calibri" w:hAnsi="Noto Sans" w:cs="Noto Sans"/>
          <w:b/>
          <w:bCs/>
          <w:color w:val="0070C0" w:themeColor="accent1"/>
          <w:sz w:val="36"/>
          <w:szCs w:val="36"/>
          <w:lang w:val="en-US" w:eastAsia="en-GB"/>
        </w:rPr>
        <w:lastRenderedPageBreak/>
        <w:t xml:space="preserve">Our </w:t>
      </w:r>
      <w:r w:rsidR="008D5E61">
        <w:rPr>
          <w:rFonts w:ascii="Noto Sans" w:eastAsia="Calibri" w:hAnsi="Noto Sans" w:cs="Noto Sans"/>
          <w:b/>
          <w:bCs/>
          <w:color w:val="0070C0" w:themeColor="accent1"/>
          <w:sz w:val="36"/>
          <w:szCs w:val="36"/>
          <w:lang w:val="en-US" w:eastAsia="en-GB"/>
        </w:rPr>
        <w:t xml:space="preserve">HRA </w:t>
      </w:r>
      <w:r w:rsidR="00C67FCA">
        <w:rPr>
          <w:rFonts w:ascii="Noto Sans" w:eastAsia="Calibri" w:hAnsi="Noto Sans" w:cs="Noto Sans"/>
          <w:b/>
          <w:bCs/>
          <w:color w:val="0070C0" w:themeColor="accent1"/>
          <w:sz w:val="36"/>
          <w:szCs w:val="36"/>
          <w:lang w:val="en-US" w:eastAsia="en-GB"/>
        </w:rPr>
        <w:t>Business Plan – the financials</w:t>
      </w:r>
    </w:p>
    <w:p w14:paraId="3D142857" w14:textId="77777777" w:rsidR="00284813" w:rsidRDefault="00284813" w:rsidP="00284813">
      <w:pPr>
        <w:rPr>
          <w:rFonts w:ascii="Noto Sans" w:eastAsia="Calibri" w:hAnsi="Noto Sans" w:cs="Noto Sans"/>
          <w:b/>
          <w:bCs/>
          <w:color w:val="0070C0" w:themeColor="accent1"/>
          <w:sz w:val="36"/>
          <w:szCs w:val="36"/>
          <w:lang w:val="en-US" w:eastAsia="en-GB"/>
        </w:rPr>
      </w:pPr>
    </w:p>
    <w:p w14:paraId="283B8150" w14:textId="77777777" w:rsidR="00CC74C3" w:rsidRPr="00590FEC" w:rsidRDefault="00CC74C3" w:rsidP="00284813">
      <w:pPr>
        <w:spacing w:after="160" w:line="259" w:lineRule="auto"/>
        <w:rPr>
          <w:rFonts w:ascii="Noto Sans" w:eastAsia="Calibri" w:hAnsi="Noto Sans" w:cs="Noto Sans"/>
          <w:b/>
          <w:bCs/>
          <w:color w:val="0070C0" w:themeColor="accent3"/>
          <w:sz w:val="28"/>
          <w:szCs w:val="28"/>
          <w:lang w:val="en-US" w:eastAsia="en-GB"/>
        </w:rPr>
      </w:pPr>
      <w:r w:rsidRPr="00590FEC">
        <w:rPr>
          <w:rFonts w:ascii="Noto Sans" w:eastAsia="Calibri" w:hAnsi="Noto Sans" w:cs="Noto Sans"/>
          <w:b/>
          <w:bCs/>
          <w:color w:val="0070C0" w:themeColor="accent3"/>
          <w:sz w:val="28"/>
          <w:szCs w:val="28"/>
          <w:lang w:val="en-US" w:eastAsia="en-GB"/>
        </w:rPr>
        <w:t>Introduction</w:t>
      </w:r>
    </w:p>
    <w:p w14:paraId="2F0A5A09" w14:textId="25A947A5" w:rsidR="009B1CE2" w:rsidRDefault="002479FF"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w:t>
      </w:r>
      <w:r w:rsidR="009C4786" w:rsidRPr="009C4786">
        <w:rPr>
          <w:rFonts w:ascii="Noto Sans" w:eastAsia="Calibri" w:hAnsi="Noto Sans" w:cs="Noto Sans"/>
          <w:lang w:val="en-US" w:eastAsia="en-GB"/>
        </w:rPr>
        <w:t xml:space="preserve"> HRA Business Plan i</w:t>
      </w:r>
      <w:r w:rsidR="00D35DAE">
        <w:rPr>
          <w:rFonts w:ascii="Noto Sans" w:eastAsia="Calibri" w:hAnsi="Noto Sans" w:cs="Noto Sans"/>
          <w:lang w:val="en-US" w:eastAsia="en-GB"/>
        </w:rPr>
        <w:t>s built around</w:t>
      </w:r>
      <w:r w:rsidR="009C4786" w:rsidRPr="009C4786">
        <w:rPr>
          <w:rFonts w:ascii="Noto Sans" w:eastAsia="Calibri" w:hAnsi="Noto Sans" w:cs="Noto Sans"/>
          <w:lang w:val="en-US" w:eastAsia="en-GB"/>
        </w:rPr>
        <w:t xml:space="preserve"> </w:t>
      </w:r>
      <w:r w:rsidR="00A30FB4">
        <w:rPr>
          <w:rFonts w:ascii="Noto Sans" w:eastAsia="Calibri" w:hAnsi="Noto Sans" w:cs="Noto Sans"/>
          <w:lang w:val="en-US" w:eastAsia="en-GB"/>
        </w:rPr>
        <w:t>40</w:t>
      </w:r>
      <w:r w:rsidR="00BA3F28">
        <w:rPr>
          <w:rFonts w:ascii="Noto Sans" w:eastAsia="Calibri" w:hAnsi="Noto Sans" w:cs="Noto Sans"/>
          <w:lang w:val="en-US" w:eastAsia="en-GB"/>
        </w:rPr>
        <w:t>-</w:t>
      </w:r>
      <w:r w:rsidR="009C4786" w:rsidRPr="009C4786">
        <w:rPr>
          <w:rFonts w:ascii="Noto Sans" w:eastAsia="Calibri" w:hAnsi="Noto Sans" w:cs="Noto Sans"/>
          <w:lang w:val="en-US" w:eastAsia="en-GB"/>
        </w:rPr>
        <w:t xml:space="preserve">year cashflows that </w:t>
      </w:r>
      <w:r w:rsidR="00D35DAE">
        <w:rPr>
          <w:rFonts w:ascii="Noto Sans" w:eastAsia="Calibri" w:hAnsi="Noto Sans" w:cs="Noto Sans"/>
          <w:lang w:val="en-US" w:eastAsia="en-GB"/>
        </w:rPr>
        <w:t>are</w:t>
      </w:r>
      <w:r w:rsidR="009C4786" w:rsidRPr="009C4786">
        <w:rPr>
          <w:rFonts w:ascii="Noto Sans" w:eastAsia="Calibri" w:hAnsi="Noto Sans" w:cs="Noto Sans"/>
          <w:lang w:val="en-US" w:eastAsia="en-GB"/>
        </w:rPr>
        <w:t xml:space="preserve"> used to help inform </w:t>
      </w:r>
      <w:r w:rsidR="00D35DAE">
        <w:rPr>
          <w:rFonts w:ascii="Noto Sans" w:eastAsia="Calibri" w:hAnsi="Noto Sans" w:cs="Noto Sans"/>
          <w:lang w:val="en-US" w:eastAsia="en-GB"/>
        </w:rPr>
        <w:t xml:space="preserve">the </w:t>
      </w:r>
      <w:r w:rsidR="009C4786" w:rsidRPr="009C4786">
        <w:rPr>
          <w:rFonts w:ascii="Noto Sans" w:eastAsia="Calibri" w:hAnsi="Noto Sans" w:cs="Noto Sans"/>
          <w:lang w:val="en-US" w:eastAsia="en-GB"/>
        </w:rPr>
        <w:t>decision</w:t>
      </w:r>
      <w:r w:rsidR="00D35DAE">
        <w:rPr>
          <w:rFonts w:ascii="Noto Sans" w:eastAsia="Calibri" w:hAnsi="Noto Sans" w:cs="Noto Sans"/>
          <w:lang w:val="en-US" w:eastAsia="en-GB"/>
        </w:rPr>
        <w:t>s we</w:t>
      </w:r>
      <w:r w:rsidR="009C4786" w:rsidRPr="009C4786">
        <w:rPr>
          <w:rFonts w:ascii="Noto Sans" w:eastAsia="Calibri" w:hAnsi="Noto Sans" w:cs="Noto Sans"/>
          <w:lang w:val="en-US" w:eastAsia="en-GB"/>
        </w:rPr>
        <w:t xml:space="preserve"> mak</w:t>
      </w:r>
      <w:r w:rsidR="00672191">
        <w:rPr>
          <w:rFonts w:ascii="Noto Sans" w:eastAsia="Calibri" w:hAnsi="Noto Sans" w:cs="Noto Sans"/>
          <w:lang w:val="en-US" w:eastAsia="en-GB"/>
        </w:rPr>
        <w:t xml:space="preserve">e in managing, maintaining and investing in the existing housing stock, as well as </w:t>
      </w:r>
      <w:r w:rsidR="00BA3F28">
        <w:rPr>
          <w:rFonts w:ascii="Noto Sans" w:eastAsia="Calibri" w:hAnsi="Noto Sans" w:cs="Noto Sans"/>
          <w:lang w:val="en-US" w:eastAsia="en-GB"/>
        </w:rPr>
        <w:t xml:space="preserve">developing much-needed new council owned homes. We </w:t>
      </w:r>
      <w:r w:rsidR="00343D2B">
        <w:rPr>
          <w:rFonts w:ascii="Noto Sans" w:eastAsia="Calibri" w:hAnsi="Noto Sans" w:cs="Noto Sans"/>
          <w:lang w:val="en-US" w:eastAsia="en-GB"/>
        </w:rPr>
        <w:t>use specialist advisers to help develop and maintain our financial modelling</w:t>
      </w:r>
      <w:r w:rsidR="00BE67DA">
        <w:rPr>
          <w:rFonts w:ascii="Noto Sans" w:eastAsia="Calibri" w:hAnsi="Noto Sans" w:cs="Noto Sans"/>
          <w:lang w:val="en-US" w:eastAsia="en-GB"/>
        </w:rPr>
        <w:t>.</w:t>
      </w:r>
      <w:r w:rsidR="009B1CE2">
        <w:rPr>
          <w:rFonts w:ascii="Noto Sans" w:eastAsia="Calibri" w:hAnsi="Noto Sans" w:cs="Noto Sans"/>
          <w:lang w:val="en-US" w:eastAsia="en-GB"/>
        </w:rPr>
        <w:t xml:space="preserve"> </w:t>
      </w:r>
      <w:r w:rsidR="00BE67DA">
        <w:rPr>
          <w:rFonts w:ascii="Noto Sans" w:eastAsia="Calibri" w:hAnsi="Noto Sans" w:cs="Noto Sans"/>
          <w:lang w:val="en-US" w:eastAsia="en-GB"/>
        </w:rPr>
        <w:t>The</w:t>
      </w:r>
      <w:r w:rsidR="009B1CE2">
        <w:rPr>
          <w:rFonts w:ascii="Noto Sans" w:eastAsia="Calibri" w:hAnsi="Noto Sans" w:cs="Noto Sans"/>
          <w:lang w:val="en-US" w:eastAsia="en-GB"/>
        </w:rPr>
        <w:t xml:space="preserve"> </w:t>
      </w:r>
      <w:r w:rsidR="00BE67DA">
        <w:rPr>
          <w:rFonts w:ascii="Noto Sans" w:eastAsia="Calibri" w:hAnsi="Noto Sans" w:cs="Noto Sans"/>
          <w:lang w:val="en-US" w:eastAsia="en-GB"/>
        </w:rPr>
        <w:t xml:space="preserve">financial modelling </w:t>
      </w:r>
      <w:r w:rsidR="00B94AF5">
        <w:rPr>
          <w:rFonts w:ascii="Noto Sans" w:eastAsia="Calibri" w:hAnsi="Noto Sans" w:cs="Noto Sans"/>
          <w:lang w:val="en-US" w:eastAsia="en-GB"/>
        </w:rPr>
        <w:t>forms the</w:t>
      </w:r>
      <w:r w:rsidR="00284813" w:rsidRPr="00284813">
        <w:rPr>
          <w:rFonts w:ascii="Noto Sans" w:eastAsia="Calibri" w:hAnsi="Noto Sans" w:cs="Noto Sans"/>
          <w:lang w:val="en-US" w:eastAsia="en-GB"/>
        </w:rPr>
        <w:t xml:space="preserve"> backcloth for the HRA, giving an indication of financial strength based on the known position </w:t>
      </w:r>
      <w:r w:rsidR="009B1CE2">
        <w:rPr>
          <w:rFonts w:ascii="Noto Sans" w:eastAsia="Calibri" w:hAnsi="Noto Sans" w:cs="Noto Sans"/>
          <w:lang w:val="en-US" w:eastAsia="en-GB"/>
        </w:rPr>
        <w:t>at any one time.</w:t>
      </w:r>
    </w:p>
    <w:p w14:paraId="3AAF20F6" w14:textId="537850E2" w:rsidR="00284813" w:rsidRPr="00284813" w:rsidRDefault="009B1CE2"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 xml:space="preserve">Our latest modelling </w:t>
      </w:r>
      <w:r w:rsidR="00295291">
        <w:rPr>
          <w:rFonts w:ascii="Noto Sans" w:eastAsia="Calibri" w:hAnsi="Noto Sans" w:cs="Noto Sans"/>
          <w:lang w:val="en-US" w:eastAsia="en-GB"/>
        </w:rPr>
        <w:t xml:space="preserve">has been developed </w:t>
      </w:r>
      <w:r w:rsidR="00284813" w:rsidRPr="00284813">
        <w:rPr>
          <w:rFonts w:ascii="Noto Sans" w:eastAsia="Calibri" w:hAnsi="Noto Sans" w:cs="Noto Sans"/>
          <w:lang w:val="en-US" w:eastAsia="en-GB"/>
        </w:rPr>
        <w:t>during 2024. Th</w:t>
      </w:r>
      <w:r w:rsidR="00524ACF">
        <w:rPr>
          <w:rFonts w:ascii="Noto Sans" w:eastAsia="Calibri" w:hAnsi="Noto Sans" w:cs="Noto Sans"/>
          <w:lang w:val="en-US" w:eastAsia="en-GB"/>
        </w:rPr>
        <w:t>e</w:t>
      </w:r>
      <w:r w:rsidR="00284813" w:rsidRPr="00284813">
        <w:rPr>
          <w:rFonts w:ascii="Noto Sans" w:eastAsia="Calibri" w:hAnsi="Noto Sans" w:cs="Noto Sans"/>
          <w:lang w:val="en-US" w:eastAsia="en-GB"/>
        </w:rPr>
        <w:t xml:space="preserve"> </w:t>
      </w:r>
      <w:r w:rsidR="00524ACF">
        <w:rPr>
          <w:rFonts w:ascii="Noto Sans" w:eastAsia="Calibri" w:hAnsi="Noto Sans" w:cs="Noto Sans"/>
          <w:lang w:val="en-US" w:eastAsia="en-GB"/>
        </w:rPr>
        <w:t xml:space="preserve">summary position presented </w:t>
      </w:r>
      <w:r w:rsidR="00D56AA9">
        <w:rPr>
          <w:rFonts w:ascii="Noto Sans" w:eastAsia="Calibri" w:hAnsi="Noto Sans" w:cs="Noto Sans"/>
          <w:lang w:val="en-US" w:eastAsia="en-GB"/>
        </w:rPr>
        <w:t>below</w:t>
      </w:r>
      <w:r w:rsidR="00284813" w:rsidRPr="00284813">
        <w:rPr>
          <w:rFonts w:ascii="Noto Sans" w:eastAsia="Calibri" w:hAnsi="Noto Sans" w:cs="Noto Sans"/>
          <w:lang w:val="en-US" w:eastAsia="en-GB"/>
        </w:rPr>
        <w:t xml:space="preserve"> is intended </w:t>
      </w:r>
      <w:r w:rsidR="00D56AA9">
        <w:rPr>
          <w:rFonts w:ascii="Noto Sans" w:eastAsia="Calibri" w:hAnsi="Noto Sans" w:cs="Noto Sans"/>
          <w:lang w:val="en-US" w:eastAsia="en-GB"/>
        </w:rPr>
        <w:t>to provide</w:t>
      </w:r>
      <w:r w:rsidR="00284813" w:rsidRPr="00284813">
        <w:rPr>
          <w:rFonts w:ascii="Noto Sans" w:eastAsia="Calibri" w:hAnsi="Noto Sans" w:cs="Noto Sans"/>
          <w:lang w:val="en-US" w:eastAsia="en-GB"/>
        </w:rPr>
        <w:t xml:space="preserve"> a guide for the choices the Council may make during </w:t>
      </w:r>
      <w:r w:rsidR="00405289">
        <w:rPr>
          <w:rFonts w:ascii="Noto Sans" w:eastAsia="Calibri" w:hAnsi="Noto Sans" w:cs="Noto Sans"/>
          <w:lang w:val="en-US" w:eastAsia="en-GB"/>
        </w:rPr>
        <w:t>the</w:t>
      </w:r>
      <w:r w:rsidR="00284813" w:rsidRPr="00284813">
        <w:rPr>
          <w:rFonts w:ascii="Noto Sans" w:eastAsia="Calibri" w:hAnsi="Noto Sans" w:cs="Noto Sans"/>
          <w:lang w:val="en-US" w:eastAsia="en-GB"/>
        </w:rPr>
        <w:t xml:space="preserve"> forthcoming policy-setting and budget cycles</w:t>
      </w:r>
      <w:r w:rsidR="005463C9">
        <w:rPr>
          <w:rFonts w:ascii="Noto Sans" w:eastAsia="Calibri" w:hAnsi="Noto Sans" w:cs="Noto Sans"/>
          <w:lang w:val="en-US" w:eastAsia="en-GB"/>
        </w:rPr>
        <w:t xml:space="preserve"> in late 2024</w:t>
      </w:r>
      <w:r w:rsidR="00284813" w:rsidRPr="00284813">
        <w:rPr>
          <w:rFonts w:ascii="Noto Sans" w:eastAsia="Calibri" w:hAnsi="Noto Sans" w:cs="Noto Sans"/>
          <w:lang w:val="en-US" w:eastAsia="en-GB"/>
        </w:rPr>
        <w:t>.</w:t>
      </w:r>
      <w:r w:rsidR="00C1749F">
        <w:rPr>
          <w:rFonts w:ascii="Noto Sans" w:eastAsia="Calibri" w:hAnsi="Noto Sans" w:cs="Noto Sans"/>
          <w:lang w:val="en-US" w:eastAsia="en-GB"/>
        </w:rPr>
        <w:t xml:space="preserve">  </w:t>
      </w:r>
      <w:r w:rsidR="00405289">
        <w:rPr>
          <w:rFonts w:ascii="Noto Sans" w:eastAsia="Calibri" w:hAnsi="Noto Sans" w:cs="Noto Sans"/>
          <w:lang w:val="en-US" w:eastAsia="en-GB"/>
        </w:rPr>
        <w:t>T</w:t>
      </w:r>
      <w:r w:rsidR="00C1749F" w:rsidRPr="00C1749F">
        <w:rPr>
          <w:rFonts w:ascii="Noto Sans" w:eastAsia="Calibri" w:hAnsi="Noto Sans" w:cs="Noto Sans"/>
          <w:lang w:val="en-US" w:eastAsia="en-GB"/>
        </w:rPr>
        <w:t xml:space="preserve">he government has </w:t>
      </w:r>
      <w:r w:rsidR="00840731" w:rsidRPr="00C1749F">
        <w:rPr>
          <w:rFonts w:ascii="Noto Sans" w:eastAsia="Calibri" w:hAnsi="Noto Sans" w:cs="Noto Sans"/>
          <w:lang w:val="en-US" w:eastAsia="en-GB"/>
        </w:rPr>
        <w:t>signaled</w:t>
      </w:r>
      <w:r w:rsidR="00C1749F" w:rsidRPr="00C1749F">
        <w:rPr>
          <w:rFonts w:ascii="Noto Sans" w:eastAsia="Calibri" w:hAnsi="Noto Sans" w:cs="Noto Sans"/>
          <w:lang w:val="en-US" w:eastAsia="en-GB"/>
        </w:rPr>
        <w:t xml:space="preserve"> a set of Budget announcements on 30 October 2024, which will alter the underlying financial assumptions for local authorities that are social landlords. We may </w:t>
      </w:r>
      <w:r w:rsidR="00405289">
        <w:rPr>
          <w:rFonts w:ascii="Noto Sans" w:eastAsia="Calibri" w:hAnsi="Noto Sans" w:cs="Noto Sans"/>
          <w:lang w:val="en-US" w:eastAsia="en-GB"/>
        </w:rPr>
        <w:t xml:space="preserve">therefore </w:t>
      </w:r>
      <w:r w:rsidR="00C1749F" w:rsidRPr="00C1749F">
        <w:rPr>
          <w:rFonts w:ascii="Noto Sans" w:eastAsia="Calibri" w:hAnsi="Noto Sans" w:cs="Noto Sans"/>
          <w:lang w:val="en-US" w:eastAsia="en-GB"/>
        </w:rPr>
        <w:t xml:space="preserve">need to </w:t>
      </w:r>
      <w:r w:rsidR="00405289">
        <w:rPr>
          <w:rFonts w:ascii="Noto Sans" w:eastAsia="Calibri" w:hAnsi="Noto Sans" w:cs="Noto Sans"/>
          <w:lang w:val="en-US" w:eastAsia="en-GB"/>
        </w:rPr>
        <w:t>produce an</w:t>
      </w:r>
      <w:r w:rsidR="00C1749F" w:rsidRPr="00C1749F">
        <w:rPr>
          <w:rFonts w:ascii="Noto Sans" w:eastAsia="Calibri" w:hAnsi="Noto Sans" w:cs="Noto Sans"/>
          <w:lang w:val="en-US" w:eastAsia="en-GB"/>
        </w:rPr>
        <w:t xml:space="preserve"> updated set of projections to inform the 2025/26 budget-setting process.</w:t>
      </w:r>
    </w:p>
    <w:p w14:paraId="6B904DC3" w14:textId="4F4F0461" w:rsidR="00284813" w:rsidRPr="00284813" w:rsidRDefault="005463C9"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T</w:t>
      </w:r>
      <w:r w:rsidR="00284813" w:rsidRPr="00284813">
        <w:rPr>
          <w:rFonts w:ascii="Noto Sans" w:eastAsia="Calibri" w:hAnsi="Noto Sans" w:cs="Noto Sans"/>
          <w:lang w:val="en-US" w:eastAsia="en-GB"/>
        </w:rPr>
        <w:t xml:space="preserve">he financial position of an authority’s HRA varies in line with changes in economic conditions, decisions made by the </w:t>
      </w:r>
      <w:r>
        <w:rPr>
          <w:rFonts w:ascii="Noto Sans" w:eastAsia="Calibri" w:hAnsi="Noto Sans" w:cs="Noto Sans"/>
          <w:lang w:val="en-US" w:eastAsia="en-GB"/>
        </w:rPr>
        <w:t>C</w:t>
      </w:r>
      <w:r w:rsidR="00284813" w:rsidRPr="00284813">
        <w:rPr>
          <w:rFonts w:ascii="Noto Sans" w:eastAsia="Calibri" w:hAnsi="Noto Sans" w:cs="Noto Sans"/>
          <w:lang w:val="en-US" w:eastAsia="en-GB"/>
        </w:rPr>
        <w:t xml:space="preserve">ouncil itself and </w:t>
      </w:r>
      <w:r>
        <w:rPr>
          <w:rFonts w:ascii="Noto Sans" w:eastAsia="Calibri" w:hAnsi="Noto Sans" w:cs="Noto Sans"/>
          <w:lang w:val="en-US" w:eastAsia="en-GB"/>
        </w:rPr>
        <w:t>n</w:t>
      </w:r>
      <w:r w:rsidR="00284813" w:rsidRPr="00284813">
        <w:rPr>
          <w:rFonts w:ascii="Noto Sans" w:eastAsia="Calibri" w:hAnsi="Noto Sans" w:cs="Noto Sans"/>
          <w:lang w:val="en-US" w:eastAsia="en-GB"/>
        </w:rPr>
        <w:t xml:space="preserve">ational policy announcements. It is </w:t>
      </w:r>
      <w:r w:rsidR="00555CAE">
        <w:rPr>
          <w:rFonts w:ascii="Noto Sans" w:eastAsia="Calibri" w:hAnsi="Noto Sans" w:cs="Noto Sans"/>
          <w:lang w:val="en-US" w:eastAsia="en-GB"/>
        </w:rPr>
        <w:t xml:space="preserve">therefore </w:t>
      </w:r>
      <w:r w:rsidR="00284813" w:rsidRPr="00284813">
        <w:rPr>
          <w:rFonts w:ascii="Noto Sans" w:eastAsia="Calibri" w:hAnsi="Noto Sans" w:cs="Noto Sans"/>
          <w:lang w:val="en-US" w:eastAsia="en-GB"/>
        </w:rPr>
        <w:t>important t</w:t>
      </w:r>
      <w:r w:rsidR="00555CAE">
        <w:rPr>
          <w:rFonts w:ascii="Noto Sans" w:eastAsia="Calibri" w:hAnsi="Noto Sans" w:cs="Noto Sans"/>
          <w:lang w:val="en-US" w:eastAsia="en-GB"/>
        </w:rPr>
        <w:t>hat we</w:t>
      </w:r>
      <w:r w:rsidR="00284813" w:rsidRPr="00284813">
        <w:rPr>
          <w:rFonts w:ascii="Noto Sans" w:eastAsia="Calibri" w:hAnsi="Noto Sans" w:cs="Noto Sans"/>
          <w:lang w:val="en-US" w:eastAsia="en-GB"/>
        </w:rPr>
        <w:t xml:space="preserve"> update the financial projections regularly to </w:t>
      </w:r>
      <w:r w:rsidR="00590FEC">
        <w:rPr>
          <w:rFonts w:ascii="Noto Sans" w:eastAsia="Calibri" w:hAnsi="Noto Sans" w:cs="Noto Sans"/>
          <w:lang w:val="en-US" w:eastAsia="en-GB"/>
        </w:rPr>
        <w:t>reflect</w:t>
      </w:r>
      <w:r w:rsidR="00284813" w:rsidRPr="00284813">
        <w:rPr>
          <w:rFonts w:ascii="Noto Sans" w:eastAsia="Calibri" w:hAnsi="Noto Sans" w:cs="Noto Sans"/>
          <w:lang w:val="en-US" w:eastAsia="en-GB"/>
        </w:rPr>
        <w:t xml:space="preserve"> changes in circumstances. This </w:t>
      </w:r>
      <w:r w:rsidR="00590FEC">
        <w:rPr>
          <w:rFonts w:ascii="Noto Sans" w:eastAsia="Calibri" w:hAnsi="Noto Sans" w:cs="Noto Sans"/>
          <w:lang w:val="en-US" w:eastAsia="en-GB"/>
        </w:rPr>
        <w:t xml:space="preserve">will </w:t>
      </w:r>
      <w:r w:rsidR="00284813" w:rsidRPr="00284813">
        <w:rPr>
          <w:rFonts w:ascii="Noto Sans" w:eastAsia="Calibri" w:hAnsi="Noto Sans" w:cs="Noto Sans"/>
          <w:lang w:val="en-US" w:eastAsia="en-GB"/>
        </w:rPr>
        <w:t xml:space="preserve">enable </w:t>
      </w:r>
      <w:r w:rsidR="00590FEC">
        <w:rPr>
          <w:rFonts w:ascii="Noto Sans" w:eastAsia="Calibri" w:hAnsi="Noto Sans" w:cs="Noto Sans"/>
          <w:lang w:val="en-US" w:eastAsia="en-GB"/>
        </w:rPr>
        <w:t>us</w:t>
      </w:r>
      <w:r w:rsidR="00284813" w:rsidRPr="00284813">
        <w:rPr>
          <w:rFonts w:ascii="Noto Sans" w:eastAsia="Calibri" w:hAnsi="Noto Sans" w:cs="Noto Sans"/>
          <w:lang w:val="en-US" w:eastAsia="en-GB"/>
        </w:rPr>
        <w:t xml:space="preserve"> to identify any underlying risks and opportunities at an early stage and make decisions that </w:t>
      </w:r>
      <w:proofErr w:type="spellStart"/>
      <w:r w:rsidR="00284813" w:rsidRPr="00284813">
        <w:rPr>
          <w:rFonts w:ascii="Noto Sans" w:eastAsia="Calibri" w:hAnsi="Noto Sans" w:cs="Noto Sans"/>
          <w:lang w:val="en-US" w:eastAsia="en-GB"/>
        </w:rPr>
        <w:t>optimise</w:t>
      </w:r>
      <w:proofErr w:type="spellEnd"/>
      <w:r w:rsidR="00284813" w:rsidRPr="00284813">
        <w:rPr>
          <w:rFonts w:ascii="Noto Sans" w:eastAsia="Calibri" w:hAnsi="Noto Sans" w:cs="Noto Sans"/>
          <w:lang w:val="en-US" w:eastAsia="en-GB"/>
        </w:rPr>
        <w:t xml:space="preserve"> the position of its HRA over the short, medium and long terms.</w:t>
      </w:r>
    </w:p>
    <w:p w14:paraId="1A042E39"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Basis for the HRA projections</w:t>
      </w:r>
    </w:p>
    <w:p w14:paraId="2D6E0844" w14:textId="652E1C2E" w:rsidR="00284813" w:rsidRPr="00284813" w:rsidRDefault="00590FEC"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 latest</w:t>
      </w:r>
      <w:r w:rsidR="00284813" w:rsidRPr="00284813">
        <w:rPr>
          <w:rFonts w:ascii="Noto Sans" w:eastAsia="Calibri" w:hAnsi="Noto Sans" w:cs="Noto Sans"/>
          <w:lang w:val="en-US" w:eastAsia="en-GB"/>
        </w:rPr>
        <w:t xml:space="preserve"> projections cover a </w:t>
      </w:r>
      <w:proofErr w:type="gramStart"/>
      <w:r w:rsidR="00284813" w:rsidRPr="00284813">
        <w:rPr>
          <w:rFonts w:ascii="Noto Sans" w:eastAsia="Calibri" w:hAnsi="Noto Sans" w:cs="Noto Sans"/>
          <w:lang w:val="en-US" w:eastAsia="en-GB"/>
        </w:rPr>
        <w:t>40 year</w:t>
      </w:r>
      <w:proofErr w:type="gramEnd"/>
      <w:r w:rsidR="00284813" w:rsidRPr="00284813">
        <w:rPr>
          <w:rFonts w:ascii="Noto Sans" w:eastAsia="Calibri" w:hAnsi="Noto Sans" w:cs="Noto Sans"/>
          <w:lang w:val="en-US" w:eastAsia="en-GB"/>
        </w:rPr>
        <w:t xml:space="preserve"> period, starting on 1 April </w:t>
      </w:r>
      <w:r w:rsidR="00B903EB" w:rsidRPr="00284813">
        <w:rPr>
          <w:rFonts w:ascii="Noto Sans" w:eastAsia="Calibri" w:hAnsi="Noto Sans" w:cs="Noto Sans"/>
          <w:lang w:val="en-US" w:eastAsia="en-GB"/>
        </w:rPr>
        <w:t>202</w:t>
      </w:r>
      <w:r w:rsidR="00B903EB">
        <w:rPr>
          <w:rFonts w:ascii="Noto Sans" w:eastAsia="Calibri" w:hAnsi="Noto Sans" w:cs="Noto Sans"/>
          <w:lang w:val="en-US" w:eastAsia="en-GB"/>
        </w:rPr>
        <w:t>4</w:t>
      </w:r>
      <w:r w:rsidR="00B903EB" w:rsidRPr="00284813">
        <w:rPr>
          <w:rFonts w:ascii="Noto Sans" w:eastAsia="Calibri" w:hAnsi="Noto Sans" w:cs="Noto Sans"/>
          <w:lang w:val="en-US" w:eastAsia="en-GB"/>
        </w:rPr>
        <w:t xml:space="preserve"> </w:t>
      </w:r>
      <w:r w:rsidR="00284813" w:rsidRPr="00284813">
        <w:rPr>
          <w:rFonts w:ascii="Noto Sans" w:eastAsia="Calibri" w:hAnsi="Noto Sans" w:cs="Noto Sans"/>
          <w:lang w:val="en-US" w:eastAsia="en-GB"/>
        </w:rPr>
        <w:t xml:space="preserve">and ending on 31 March </w:t>
      </w:r>
      <w:r w:rsidR="00B903EB" w:rsidRPr="00284813">
        <w:rPr>
          <w:rFonts w:ascii="Noto Sans" w:eastAsia="Calibri" w:hAnsi="Noto Sans" w:cs="Noto Sans"/>
          <w:lang w:val="en-US" w:eastAsia="en-GB"/>
        </w:rPr>
        <w:t>206</w:t>
      </w:r>
      <w:r w:rsidR="00B903EB">
        <w:rPr>
          <w:rFonts w:ascii="Noto Sans" w:eastAsia="Calibri" w:hAnsi="Noto Sans" w:cs="Noto Sans"/>
          <w:lang w:val="en-US" w:eastAsia="en-GB"/>
        </w:rPr>
        <w:t>4</w:t>
      </w:r>
      <w:r w:rsidR="00284813" w:rsidRPr="00284813">
        <w:rPr>
          <w:rFonts w:ascii="Noto Sans" w:eastAsia="Calibri" w:hAnsi="Noto Sans" w:cs="Noto Sans"/>
          <w:lang w:val="en-US" w:eastAsia="en-GB"/>
        </w:rPr>
        <w:t>. They simulate all financial activity related to the HRA over that period, including:</w:t>
      </w:r>
    </w:p>
    <w:p w14:paraId="713FDE16" w14:textId="4266CA2C"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Day</w:t>
      </w:r>
      <w:r w:rsidR="0099317B">
        <w:rPr>
          <w:rFonts w:ascii="Noto Sans" w:eastAsia="Calibri" w:hAnsi="Noto Sans" w:cs="Noto Sans"/>
          <w:lang w:val="en-US" w:eastAsia="en-GB"/>
        </w:rPr>
        <w:t>-</w:t>
      </w:r>
      <w:r w:rsidRPr="00284813">
        <w:rPr>
          <w:rFonts w:ascii="Noto Sans" w:eastAsia="Calibri" w:hAnsi="Noto Sans" w:cs="Noto Sans"/>
          <w:lang w:val="en-US" w:eastAsia="en-GB"/>
        </w:rPr>
        <w:t>to</w:t>
      </w:r>
      <w:r w:rsidR="0099317B">
        <w:rPr>
          <w:rFonts w:ascii="Noto Sans" w:eastAsia="Calibri" w:hAnsi="Noto Sans" w:cs="Noto Sans"/>
          <w:lang w:val="en-US" w:eastAsia="en-GB"/>
        </w:rPr>
        <w:t>-</w:t>
      </w:r>
      <w:r w:rsidRPr="00284813">
        <w:rPr>
          <w:rFonts w:ascii="Noto Sans" w:eastAsia="Calibri" w:hAnsi="Noto Sans" w:cs="Noto Sans"/>
          <w:lang w:val="en-US" w:eastAsia="en-GB"/>
        </w:rPr>
        <w:t>day operating costs (such as general management, services to tenants, repairs &amp; maintenance</w:t>
      </w:r>
      <w:r w:rsidR="00493BE0">
        <w:rPr>
          <w:rFonts w:ascii="Noto Sans" w:eastAsia="Calibri" w:hAnsi="Noto Sans" w:cs="Noto Sans"/>
          <w:lang w:val="en-US" w:eastAsia="en-GB"/>
        </w:rPr>
        <w:t>).</w:t>
      </w:r>
    </w:p>
    <w:p w14:paraId="3A37D379" w14:textId="1DADC898"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Internal transactions (such as depreciation and use of the major repairs reserve)</w:t>
      </w:r>
      <w:r w:rsidR="00493BE0">
        <w:rPr>
          <w:rFonts w:ascii="Noto Sans" w:eastAsia="Calibri" w:hAnsi="Noto Sans" w:cs="Noto Sans"/>
          <w:lang w:val="en-US" w:eastAsia="en-GB"/>
        </w:rPr>
        <w:t>.</w:t>
      </w:r>
    </w:p>
    <w:p w14:paraId="0AB8AEF0" w14:textId="10EAE05B"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Revenue income (including dwelling rents, service charges and non-dwelling rents)</w:t>
      </w:r>
      <w:r w:rsidR="00493BE0">
        <w:rPr>
          <w:rFonts w:ascii="Noto Sans" w:eastAsia="Calibri" w:hAnsi="Noto Sans" w:cs="Noto Sans"/>
          <w:lang w:val="en-US" w:eastAsia="en-GB"/>
        </w:rPr>
        <w:t>.</w:t>
      </w:r>
    </w:p>
    <w:p w14:paraId="6A1BE8D4" w14:textId="77777777"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lastRenderedPageBreak/>
        <w:t xml:space="preserve">Capital expenditure (such as major works and components for existing and new homes,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of the housing stock, compliance with regulatory requirements, adaptations and the provision of new homes)</w:t>
      </w:r>
    </w:p>
    <w:p w14:paraId="4BBFFD55" w14:textId="3E95B91A"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Capital financing (including the use of grants, capital receipts, HRA-related reserves and balances and borrowing)</w:t>
      </w:r>
      <w:r w:rsidR="00493BE0">
        <w:rPr>
          <w:rFonts w:ascii="Noto Sans" w:eastAsia="Calibri" w:hAnsi="Noto Sans" w:cs="Noto Sans"/>
          <w:lang w:val="en-US" w:eastAsia="en-GB"/>
        </w:rPr>
        <w:t>.</w:t>
      </w:r>
    </w:p>
    <w:p w14:paraId="1F668A6F" w14:textId="78167A4E"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The process for preparing the projections includes:</w:t>
      </w:r>
    </w:p>
    <w:p w14:paraId="3BD99506" w14:textId="0CE4BF90"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Establishment of baseline projections, which assume continuation of the current service with little change</w:t>
      </w:r>
      <w:r w:rsidR="00493BE0">
        <w:rPr>
          <w:rFonts w:ascii="Noto Sans" w:eastAsia="Calibri" w:hAnsi="Noto Sans" w:cs="Noto Sans"/>
          <w:lang w:val="en-US" w:eastAsia="en-GB"/>
        </w:rPr>
        <w:t>.</w:t>
      </w:r>
    </w:p>
    <w:p w14:paraId="2536D2B6" w14:textId="0502791C"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Stress-testing the Baseline to assess the impact of changes in circumstances and the underlying assumptions. This starts to identify potential underlying risks and opportunities</w:t>
      </w:r>
      <w:r w:rsidR="00DA1C89">
        <w:rPr>
          <w:rFonts w:ascii="Noto Sans" w:eastAsia="Calibri" w:hAnsi="Noto Sans" w:cs="Noto Sans"/>
          <w:lang w:val="en-US" w:eastAsia="en-GB"/>
        </w:rPr>
        <w:t>.</w:t>
      </w:r>
    </w:p>
    <w:p w14:paraId="433E4731" w14:textId="4DD34C5A" w:rsidR="00284813" w:rsidRPr="00284813" w:rsidRDefault="00284813" w:rsidP="00D33A64">
      <w:pPr>
        <w:numPr>
          <w:ilvl w:val="0"/>
          <w:numId w:val="13"/>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Develop a range of scenarios that illustrate the impact of actions that strengthen the authority’s position. These are mostly </w:t>
      </w:r>
      <w:proofErr w:type="gramStart"/>
      <w:r w:rsidRPr="00284813">
        <w:rPr>
          <w:rFonts w:ascii="Noto Sans" w:eastAsia="Calibri" w:hAnsi="Noto Sans" w:cs="Noto Sans"/>
          <w:lang w:val="en-US" w:eastAsia="en-GB"/>
        </w:rPr>
        <w:t>actions</w:t>
      </w:r>
      <w:proofErr w:type="gramEnd"/>
      <w:r w:rsidRPr="00284813">
        <w:rPr>
          <w:rFonts w:ascii="Noto Sans" w:eastAsia="Calibri" w:hAnsi="Noto Sans" w:cs="Noto Sans"/>
          <w:lang w:val="en-US" w:eastAsia="en-GB"/>
        </w:rPr>
        <w:t xml:space="preserve"> the authority can take itself but can also include actions it might request from </w:t>
      </w:r>
      <w:r w:rsidR="00493BE0">
        <w:rPr>
          <w:rFonts w:ascii="Noto Sans" w:eastAsia="Calibri" w:hAnsi="Noto Sans" w:cs="Noto Sans"/>
          <w:lang w:val="en-US" w:eastAsia="en-GB"/>
        </w:rPr>
        <w:t>g</w:t>
      </w:r>
      <w:r w:rsidRPr="00284813">
        <w:rPr>
          <w:rFonts w:ascii="Noto Sans" w:eastAsia="Calibri" w:hAnsi="Noto Sans" w:cs="Noto Sans"/>
          <w:lang w:val="en-US" w:eastAsia="en-GB"/>
        </w:rPr>
        <w:t>overnment.</w:t>
      </w:r>
    </w:p>
    <w:p w14:paraId="473DE9AF" w14:textId="77777777" w:rsidR="00284813" w:rsidRPr="00284813" w:rsidRDefault="00284813" w:rsidP="00D33A64">
      <w:pPr>
        <w:numPr>
          <w:ilvl w:val="0"/>
          <w:numId w:val="13"/>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Establish a mitigated Baseline position, which forms the basis of the authority’s forward plans.</w:t>
      </w:r>
    </w:p>
    <w:p w14:paraId="2D3AB1F9" w14:textId="76FAE00E" w:rsidR="00284813" w:rsidRPr="00284813" w:rsidRDefault="00493BE0"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We will need to update the</w:t>
      </w:r>
      <w:r w:rsidR="00284813" w:rsidRPr="00284813">
        <w:rPr>
          <w:rFonts w:ascii="Noto Sans" w:eastAsia="Calibri" w:hAnsi="Noto Sans" w:cs="Noto Sans"/>
          <w:lang w:val="en-US" w:eastAsia="en-GB"/>
        </w:rPr>
        <w:t xml:space="preserve"> HRA projections regularly in response to changes to data, circumstances and the underlying assumptions. This </w:t>
      </w:r>
      <w:r>
        <w:rPr>
          <w:rFonts w:ascii="Noto Sans" w:eastAsia="Calibri" w:hAnsi="Noto Sans" w:cs="Noto Sans"/>
          <w:lang w:val="en-US" w:eastAsia="en-GB"/>
        </w:rPr>
        <w:t xml:space="preserve">will </w:t>
      </w:r>
      <w:r w:rsidR="00284813" w:rsidRPr="00284813">
        <w:rPr>
          <w:rFonts w:ascii="Noto Sans" w:eastAsia="Calibri" w:hAnsi="Noto Sans" w:cs="Noto Sans"/>
          <w:lang w:val="en-US" w:eastAsia="en-GB"/>
        </w:rPr>
        <w:t>allow</w:t>
      </w:r>
      <w:r>
        <w:rPr>
          <w:rFonts w:ascii="Noto Sans" w:eastAsia="Calibri" w:hAnsi="Noto Sans" w:cs="Noto Sans"/>
          <w:lang w:val="en-US" w:eastAsia="en-GB"/>
        </w:rPr>
        <w:t xml:space="preserve"> us</w:t>
      </w:r>
      <w:r w:rsidR="00284813" w:rsidRPr="00284813">
        <w:rPr>
          <w:rFonts w:ascii="Noto Sans" w:eastAsia="Calibri" w:hAnsi="Noto Sans" w:cs="Noto Sans"/>
          <w:lang w:val="en-US" w:eastAsia="en-GB"/>
        </w:rPr>
        <w:t xml:space="preserve"> to continually adjust and refine </w:t>
      </w: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approach, while avoiding or </w:t>
      </w:r>
      <w:proofErr w:type="spellStart"/>
      <w:r w:rsidR="00284813" w:rsidRPr="00284813">
        <w:rPr>
          <w:rFonts w:ascii="Noto Sans" w:eastAsia="Calibri" w:hAnsi="Noto Sans" w:cs="Noto Sans"/>
          <w:lang w:val="en-US" w:eastAsia="en-GB"/>
        </w:rPr>
        <w:t>minimising</w:t>
      </w:r>
      <w:proofErr w:type="spellEnd"/>
      <w:r w:rsidR="00284813" w:rsidRPr="00284813">
        <w:rPr>
          <w:rFonts w:ascii="Noto Sans" w:eastAsia="Calibri" w:hAnsi="Noto Sans" w:cs="Noto Sans"/>
          <w:lang w:val="en-US" w:eastAsia="en-GB"/>
        </w:rPr>
        <w:t xml:space="preserve"> the impact of potential risks and </w:t>
      </w:r>
      <w:proofErr w:type="spellStart"/>
      <w:r w:rsidR="00284813" w:rsidRPr="00284813">
        <w:rPr>
          <w:rFonts w:ascii="Noto Sans" w:eastAsia="Calibri" w:hAnsi="Noto Sans" w:cs="Noto Sans"/>
          <w:lang w:val="en-US" w:eastAsia="en-GB"/>
        </w:rPr>
        <w:t>maximising</w:t>
      </w:r>
      <w:proofErr w:type="spellEnd"/>
      <w:r w:rsidR="00284813" w:rsidRPr="00284813">
        <w:rPr>
          <w:rFonts w:ascii="Noto Sans" w:eastAsia="Calibri" w:hAnsi="Noto Sans" w:cs="Noto Sans"/>
          <w:lang w:val="en-US" w:eastAsia="en-GB"/>
        </w:rPr>
        <w:t xml:space="preserve"> any benefit gained from emerging opportunities.</w:t>
      </w:r>
    </w:p>
    <w:p w14:paraId="3FCA574D"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Information sources</w:t>
      </w:r>
    </w:p>
    <w:p w14:paraId="50840781" w14:textId="4FB1AA34"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HRA projections </w:t>
      </w:r>
      <w:proofErr w:type="spellStart"/>
      <w:r w:rsidRPr="00284813">
        <w:rPr>
          <w:rFonts w:ascii="Noto Sans" w:eastAsia="Calibri" w:hAnsi="Noto Sans" w:cs="Noto Sans"/>
          <w:lang w:val="en-US" w:eastAsia="en-GB"/>
        </w:rPr>
        <w:t>utilise</w:t>
      </w:r>
      <w:proofErr w:type="spellEnd"/>
      <w:r w:rsidRPr="00284813">
        <w:rPr>
          <w:rFonts w:ascii="Noto Sans" w:eastAsia="Calibri" w:hAnsi="Noto Sans" w:cs="Noto Sans"/>
          <w:lang w:val="en-US" w:eastAsia="en-GB"/>
        </w:rPr>
        <w:t xml:space="preserve"> the best available evidence. This includes:</w:t>
      </w:r>
    </w:p>
    <w:p w14:paraId="7420B43B" w14:textId="65D29ABD"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Budgets and medium</w:t>
      </w:r>
      <w:r w:rsidR="00423F55">
        <w:rPr>
          <w:rFonts w:ascii="Noto Sans" w:eastAsia="Calibri" w:hAnsi="Noto Sans" w:cs="Noto Sans"/>
          <w:lang w:val="en-US" w:eastAsia="en-GB"/>
        </w:rPr>
        <w:t>-</w:t>
      </w:r>
      <w:r w:rsidRPr="00284813">
        <w:rPr>
          <w:rFonts w:ascii="Noto Sans" w:eastAsia="Calibri" w:hAnsi="Noto Sans" w:cs="Noto Sans"/>
          <w:lang w:val="en-US" w:eastAsia="en-GB"/>
        </w:rPr>
        <w:t>term projections for operating costs and income until 2027/28</w:t>
      </w:r>
      <w:r w:rsidR="00423F55">
        <w:rPr>
          <w:rFonts w:ascii="Noto Sans" w:eastAsia="Calibri" w:hAnsi="Noto Sans" w:cs="Noto Sans"/>
          <w:lang w:val="en-US" w:eastAsia="en-GB"/>
        </w:rPr>
        <w:t>.</w:t>
      </w:r>
    </w:p>
    <w:p w14:paraId="25AF2981" w14:textId="5B872CCF"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The authority’s medium term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until 2027/28</w:t>
      </w:r>
      <w:r w:rsidR="00423F55">
        <w:rPr>
          <w:rFonts w:ascii="Noto Sans" w:eastAsia="Calibri" w:hAnsi="Noto Sans" w:cs="Noto Sans"/>
          <w:lang w:val="en-US" w:eastAsia="en-GB"/>
        </w:rPr>
        <w:t>.</w:t>
      </w:r>
    </w:p>
    <w:p w14:paraId="4BD80D42" w14:textId="45163332"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Current plans for developing </w:t>
      </w:r>
      <w:r w:rsidR="003B628A">
        <w:rPr>
          <w:rFonts w:ascii="Noto Sans" w:eastAsia="Calibri" w:hAnsi="Noto Sans" w:cs="Noto Sans"/>
          <w:lang w:val="en-US" w:eastAsia="en-GB"/>
        </w:rPr>
        <w:t xml:space="preserve">and acquiring </w:t>
      </w:r>
      <w:r w:rsidRPr="00284813">
        <w:rPr>
          <w:rFonts w:ascii="Noto Sans" w:eastAsia="Calibri" w:hAnsi="Noto Sans" w:cs="Noto Sans"/>
          <w:lang w:val="en-US" w:eastAsia="en-GB"/>
        </w:rPr>
        <w:t xml:space="preserve">new homes in the period to </w:t>
      </w:r>
      <w:r w:rsidR="00B903EB" w:rsidRPr="00284813">
        <w:rPr>
          <w:rFonts w:ascii="Noto Sans" w:eastAsia="Calibri" w:hAnsi="Noto Sans" w:cs="Noto Sans"/>
          <w:lang w:val="en-US" w:eastAsia="en-GB"/>
        </w:rPr>
        <w:t>20</w:t>
      </w:r>
      <w:r w:rsidR="00B903EB">
        <w:rPr>
          <w:rFonts w:ascii="Noto Sans" w:eastAsia="Calibri" w:hAnsi="Noto Sans" w:cs="Noto Sans"/>
          <w:lang w:val="en-US" w:eastAsia="en-GB"/>
        </w:rPr>
        <w:t>30</w:t>
      </w:r>
      <w:r w:rsidRPr="00284813">
        <w:rPr>
          <w:rFonts w:ascii="Noto Sans" w:eastAsia="Calibri" w:hAnsi="Noto Sans" w:cs="Noto Sans"/>
          <w:lang w:val="en-US" w:eastAsia="en-GB"/>
        </w:rPr>
        <w:t>/</w:t>
      </w:r>
      <w:r w:rsidR="00B903EB">
        <w:rPr>
          <w:rFonts w:ascii="Noto Sans" w:eastAsia="Calibri" w:hAnsi="Noto Sans" w:cs="Noto Sans"/>
          <w:lang w:val="en-US" w:eastAsia="en-GB"/>
        </w:rPr>
        <w:t>31</w:t>
      </w:r>
      <w:r w:rsidR="00423F55">
        <w:rPr>
          <w:rFonts w:ascii="Noto Sans" w:eastAsia="Calibri" w:hAnsi="Noto Sans" w:cs="Noto Sans"/>
          <w:lang w:val="en-US" w:eastAsia="en-GB"/>
        </w:rPr>
        <w:t>.</w:t>
      </w:r>
    </w:p>
    <w:p w14:paraId="3A817D2F" w14:textId="7C79007D" w:rsidR="00284813" w:rsidRPr="00284813" w:rsidRDefault="00284813" w:rsidP="00D33A64">
      <w:pPr>
        <w:numPr>
          <w:ilvl w:val="0"/>
          <w:numId w:val="14"/>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Emerging results from an ongoing survey of stock condition</w:t>
      </w:r>
      <w:r w:rsidR="00423F55">
        <w:rPr>
          <w:rFonts w:ascii="Noto Sans" w:eastAsia="Calibri" w:hAnsi="Noto Sans" w:cs="Noto Sans"/>
          <w:lang w:val="en-US" w:eastAsia="en-GB"/>
        </w:rPr>
        <w:t>.</w:t>
      </w:r>
    </w:p>
    <w:p w14:paraId="14AC569C" w14:textId="4914AAD4" w:rsidR="00284813" w:rsidRPr="00284813" w:rsidRDefault="00284813" w:rsidP="00D33A64">
      <w:pPr>
        <w:numPr>
          <w:ilvl w:val="0"/>
          <w:numId w:val="14"/>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Details of existing loans related to previous HRA capital spending</w:t>
      </w:r>
      <w:r w:rsidR="00423F55">
        <w:rPr>
          <w:rFonts w:ascii="Noto Sans" w:eastAsia="Calibri" w:hAnsi="Noto Sans" w:cs="Noto Sans"/>
          <w:lang w:val="en-US" w:eastAsia="en-GB"/>
        </w:rPr>
        <w:t>.</w:t>
      </w:r>
    </w:p>
    <w:p w14:paraId="32834CAE" w14:textId="7DC7758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In addition, the projections </w:t>
      </w:r>
      <w:r w:rsidR="00C3113A" w:rsidRPr="00284813">
        <w:rPr>
          <w:rFonts w:ascii="Noto Sans" w:eastAsia="Calibri" w:hAnsi="Noto Sans" w:cs="Noto Sans"/>
          <w:lang w:val="en-US" w:eastAsia="en-GB"/>
        </w:rPr>
        <w:t>consider</w:t>
      </w:r>
      <w:r w:rsidRPr="00284813">
        <w:rPr>
          <w:rFonts w:ascii="Noto Sans" w:eastAsia="Calibri" w:hAnsi="Noto Sans" w:cs="Noto Sans"/>
          <w:lang w:val="en-US" w:eastAsia="en-GB"/>
        </w:rPr>
        <w:t>:</w:t>
      </w:r>
    </w:p>
    <w:p w14:paraId="722176EA" w14:textId="5183785E"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Inflation projections produced by the Bank of England</w:t>
      </w:r>
      <w:r w:rsidR="00C3113A">
        <w:rPr>
          <w:rFonts w:ascii="Noto Sans" w:eastAsia="Calibri" w:hAnsi="Noto Sans" w:cs="Noto Sans"/>
          <w:lang w:val="en-US" w:eastAsia="en-GB"/>
        </w:rPr>
        <w:t>.</w:t>
      </w:r>
    </w:p>
    <w:p w14:paraId="08DBE8B2" w14:textId="13F1CB3C"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Receipts generated from continuation of the </w:t>
      </w:r>
      <w:r w:rsidR="00C3113A">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C3113A">
        <w:rPr>
          <w:rFonts w:ascii="Noto Sans" w:eastAsia="Calibri" w:hAnsi="Noto Sans" w:cs="Noto Sans"/>
          <w:lang w:val="en-US" w:eastAsia="en-GB"/>
        </w:rPr>
        <w:t>B</w:t>
      </w:r>
      <w:r w:rsidRPr="00284813">
        <w:rPr>
          <w:rFonts w:ascii="Noto Sans" w:eastAsia="Calibri" w:hAnsi="Noto Sans" w:cs="Noto Sans"/>
          <w:lang w:val="en-US" w:eastAsia="en-GB"/>
        </w:rPr>
        <w:t>uy</w:t>
      </w:r>
      <w:r w:rsidR="00C3113A">
        <w:rPr>
          <w:rFonts w:ascii="Noto Sans" w:eastAsia="Calibri" w:hAnsi="Noto Sans" w:cs="Noto Sans"/>
          <w:lang w:val="en-US" w:eastAsia="en-GB"/>
        </w:rPr>
        <w:t>.</w:t>
      </w:r>
    </w:p>
    <w:p w14:paraId="777AA78A" w14:textId="3E0E76CB"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lastRenderedPageBreak/>
        <w:t>National policy</w:t>
      </w:r>
      <w:r w:rsidR="00C3113A">
        <w:rPr>
          <w:rFonts w:ascii="Noto Sans" w:eastAsia="Calibri" w:hAnsi="Noto Sans" w:cs="Noto Sans"/>
          <w:lang w:val="en-US" w:eastAsia="en-GB"/>
        </w:rPr>
        <w:t>, with</w:t>
      </w:r>
      <w:r w:rsidRPr="00284813">
        <w:rPr>
          <w:rFonts w:ascii="Noto Sans" w:eastAsia="Calibri" w:hAnsi="Noto Sans" w:cs="Noto Sans"/>
          <w:lang w:val="en-US" w:eastAsia="en-GB"/>
        </w:rPr>
        <w:t xml:space="preserve"> the maximum rent increase for 2025/26</w:t>
      </w:r>
      <w:r w:rsidR="00C3113A">
        <w:rPr>
          <w:rFonts w:ascii="Noto Sans" w:eastAsia="Calibri" w:hAnsi="Noto Sans" w:cs="Noto Sans"/>
          <w:lang w:val="en-US" w:eastAsia="en-GB"/>
        </w:rPr>
        <w:t>.</w:t>
      </w:r>
    </w:p>
    <w:p w14:paraId="377A3FC9" w14:textId="6E3ACD0F" w:rsidR="00284813" w:rsidRPr="00284813" w:rsidRDefault="00C3113A" w:rsidP="00D33A64">
      <w:pPr>
        <w:numPr>
          <w:ilvl w:val="0"/>
          <w:numId w:val="15"/>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expectations for interest rates on future borrowing</w:t>
      </w:r>
      <w:r>
        <w:rPr>
          <w:rFonts w:ascii="Noto Sans" w:eastAsia="Calibri" w:hAnsi="Noto Sans" w:cs="Noto Sans"/>
          <w:lang w:val="en-US" w:eastAsia="en-GB"/>
        </w:rPr>
        <w:t>.</w:t>
      </w:r>
    </w:p>
    <w:p w14:paraId="67EDD629" w14:textId="4BF013DA" w:rsidR="00284813" w:rsidRPr="00284813" w:rsidRDefault="00284813" w:rsidP="00D33A64">
      <w:pPr>
        <w:numPr>
          <w:ilvl w:val="0"/>
          <w:numId w:val="15"/>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Intelligence gained from approaches taken at other local authorities</w:t>
      </w:r>
      <w:r w:rsidR="00C3113A">
        <w:rPr>
          <w:rFonts w:ascii="Noto Sans" w:eastAsia="Calibri" w:hAnsi="Noto Sans" w:cs="Noto Sans"/>
          <w:lang w:val="en-US" w:eastAsia="en-GB"/>
        </w:rPr>
        <w:t>.</w:t>
      </w:r>
    </w:p>
    <w:p w14:paraId="2A3DE26D"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Gaps in the data</w:t>
      </w:r>
    </w:p>
    <w:p w14:paraId="232428EB" w14:textId="72C52363"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While the information sources and key assumptions provide a good evidence base, there remain </w:t>
      </w:r>
      <w:r w:rsidR="00C3113A" w:rsidRPr="00284813">
        <w:rPr>
          <w:rFonts w:ascii="Noto Sans" w:eastAsia="Calibri" w:hAnsi="Noto Sans" w:cs="Noto Sans"/>
          <w:lang w:val="en-US" w:eastAsia="en-GB"/>
        </w:rPr>
        <w:t>several</w:t>
      </w:r>
      <w:r w:rsidRPr="00284813">
        <w:rPr>
          <w:rFonts w:ascii="Noto Sans" w:eastAsia="Calibri" w:hAnsi="Noto Sans" w:cs="Noto Sans"/>
          <w:lang w:val="en-US" w:eastAsia="en-GB"/>
        </w:rPr>
        <w:t xml:space="preserve"> gaps and uncertainties in the information available. </w:t>
      </w:r>
      <w:r w:rsidR="00AD0F95">
        <w:rPr>
          <w:rFonts w:ascii="Noto Sans" w:eastAsia="Calibri" w:hAnsi="Noto Sans" w:cs="Noto Sans"/>
          <w:lang w:val="en-US" w:eastAsia="en-GB"/>
        </w:rPr>
        <w:t>Some of these are likely to be impacted by the October 2024 Budget announcements, and</w:t>
      </w:r>
      <w:r w:rsidRPr="00284813">
        <w:rPr>
          <w:rFonts w:ascii="Noto Sans" w:eastAsia="Calibri" w:hAnsi="Noto Sans" w:cs="Noto Sans"/>
          <w:lang w:val="en-US" w:eastAsia="en-GB"/>
        </w:rPr>
        <w:t xml:space="preserve"> include:</w:t>
      </w:r>
    </w:p>
    <w:p w14:paraId="3D42977D" w14:textId="6FDF2231"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Th</w:t>
      </w:r>
      <w:r w:rsidR="00EC3C81">
        <w:rPr>
          <w:rFonts w:ascii="Noto Sans" w:eastAsia="Calibri" w:hAnsi="Noto Sans" w:cs="Noto Sans"/>
          <w:lang w:val="en-US" w:eastAsia="en-GB"/>
        </w:rPr>
        <w:t>at th</w:t>
      </w:r>
      <w:r w:rsidRPr="00284813">
        <w:rPr>
          <w:rFonts w:ascii="Noto Sans" w:eastAsia="Calibri" w:hAnsi="Noto Sans" w:cs="Noto Sans"/>
          <w:lang w:val="en-US" w:eastAsia="en-GB"/>
        </w:rPr>
        <w:t>e stock condition survey remains ongoing and there is a risk that investment requirements may continue to change as a more complete picture emerges.</w:t>
      </w:r>
    </w:p>
    <w:p w14:paraId="3EBA6144" w14:textId="1129DF81" w:rsidR="00284813" w:rsidRPr="00284813" w:rsidRDefault="00EC3C81" w:rsidP="00D33A64">
      <w:pPr>
        <w:numPr>
          <w:ilvl w:val="0"/>
          <w:numId w:val="16"/>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L</w:t>
      </w:r>
      <w:r w:rsidR="00284813" w:rsidRPr="00284813">
        <w:rPr>
          <w:rFonts w:ascii="Noto Sans" w:eastAsia="Calibri" w:hAnsi="Noto Sans" w:cs="Noto Sans"/>
          <w:lang w:val="en-US" w:eastAsia="en-GB"/>
        </w:rPr>
        <w:t xml:space="preserve">ittle property-specific data to guide assumptions around the potential future costs of </w:t>
      </w:r>
      <w:proofErr w:type="spellStart"/>
      <w:r w:rsidR="00284813" w:rsidRPr="00284813">
        <w:rPr>
          <w:rFonts w:ascii="Noto Sans" w:eastAsia="Calibri" w:hAnsi="Noto Sans" w:cs="Noto Sans"/>
          <w:lang w:val="en-US" w:eastAsia="en-GB"/>
        </w:rPr>
        <w:t>decarbonising</w:t>
      </w:r>
      <w:proofErr w:type="spellEnd"/>
      <w:r w:rsidR="00284813" w:rsidRPr="00284813">
        <w:rPr>
          <w:rFonts w:ascii="Noto Sans" w:eastAsia="Calibri" w:hAnsi="Noto Sans" w:cs="Noto Sans"/>
          <w:lang w:val="en-US" w:eastAsia="en-GB"/>
        </w:rPr>
        <w:t xml:space="preserve"> of the stock.</w:t>
      </w:r>
    </w:p>
    <w:p w14:paraId="0F3232CA" w14:textId="0CCE0C65"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National policy on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of the </w:t>
      </w:r>
      <w:r w:rsidR="000500D7">
        <w:rPr>
          <w:rFonts w:ascii="Noto Sans" w:eastAsia="Calibri" w:hAnsi="Noto Sans" w:cs="Noto Sans"/>
          <w:lang w:val="en-US" w:eastAsia="en-GB"/>
        </w:rPr>
        <w:t xml:space="preserve">housing </w:t>
      </w:r>
      <w:r w:rsidRPr="00284813">
        <w:rPr>
          <w:rFonts w:ascii="Noto Sans" w:eastAsia="Calibri" w:hAnsi="Noto Sans" w:cs="Noto Sans"/>
          <w:lang w:val="en-US" w:eastAsia="en-GB"/>
        </w:rPr>
        <w:t>stock</w:t>
      </w:r>
      <w:r w:rsidR="00117176">
        <w:rPr>
          <w:rFonts w:ascii="Noto Sans" w:eastAsia="Calibri" w:hAnsi="Noto Sans" w:cs="Noto Sans"/>
          <w:lang w:val="en-US" w:eastAsia="en-GB"/>
        </w:rPr>
        <w:t>, with</w:t>
      </w:r>
      <w:r w:rsidRPr="00284813">
        <w:rPr>
          <w:rFonts w:ascii="Noto Sans" w:eastAsia="Calibri" w:hAnsi="Noto Sans" w:cs="Noto Sans"/>
          <w:lang w:val="en-US" w:eastAsia="en-GB"/>
        </w:rPr>
        <w:t xml:space="preserve"> any associated regulatory requirements remain</w:t>
      </w:r>
      <w:r w:rsidR="00117176">
        <w:rPr>
          <w:rFonts w:ascii="Noto Sans" w:eastAsia="Calibri" w:hAnsi="Noto Sans" w:cs="Noto Sans"/>
          <w:lang w:val="en-US" w:eastAsia="en-GB"/>
        </w:rPr>
        <w:t>ing</w:t>
      </w:r>
      <w:r w:rsidRPr="00284813">
        <w:rPr>
          <w:rFonts w:ascii="Noto Sans" w:eastAsia="Calibri" w:hAnsi="Noto Sans" w:cs="Noto Sans"/>
          <w:lang w:val="en-US" w:eastAsia="en-GB"/>
        </w:rPr>
        <w:t xml:space="preserve"> unclear.</w:t>
      </w:r>
    </w:p>
    <w:p w14:paraId="13D334FF" w14:textId="5631B264" w:rsidR="00284813" w:rsidRPr="00284813" w:rsidRDefault="00284813" w:rsidP="00D33A64">
      <w:pPr>
        <w:numPr>
          <w:ilvl w:val="0"/>
          <w:numId w:val="16"/>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National policy on rent increases from 2026/27 onwards </w:t>
      </w:r>
      <w:r w:rsidR="00117176">
        <w:rPr>
          <w:rFonts w:ascii="Noto Sans" w:eastAsia="Calibri" w:hAnsi="Noto Sans" w:cs="Noto Sans"/>
          <w:lang w:val="en-US" w:eastAsia="en-GB"/>
        </w:rPr>
        <w:t>being</w:t>
      </w:r>
      <w:r w:rsidRPr="00284813">
        <w:rPr>
          <w:rFonts w:ascii="Noto Sans" w:eastAsia="Calibri" w:hAnsi="Noto Sans" w:cs="Noto Sans"/>
          <w:lang w:val="en-US" w:eastAsia="en-GB"/>
        </w:rPr>
        <w:t xml:space="preserve"> currently unclear</w:t>
      </w:r>
      <w:r w:rsidR="00117176">
        <w:rPr>
          <w:rFonts w:ascii="Noto Sans" w:eastAsia="Calibri" w:hAnsi="Noto Sans" w:cs="Noto Sans"/>
          <w:lang w:val="en-US" w:eastAsia="en-GB"/>
        </w:rPr>
        <w:t>.</w:t>
      </w:r>
    </w:p>
    <w:p w14:paraId="28A4C44C" w14:textId="3EBB992C" w:rsidR="00284813" w:rsidRPr="00284813" w:rsidRDefault="00E1047C" w:rsidP="00D33A64">
      <w:pPr>
        <w:numPr>
          <w:ilvl w:val="0"/>
          <w:numId w:val="16"/>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An unclear picture on the</w:t>
      </w:r>
      <w:r w:rsidR="00284813" w:rsidRPr="00284813">
        <w:rPr>
          <w:rFonts w:ascii="Noto Sans" w:eastAsia="Calibri" w:hAnsi="Noto Sans" w:cs="Noto Sans"/>
          <w:lang w:val="en-US" w:eastAsia="en-GB"/>
        </w:rPr>
        <w:t xml:space="preserve"> availability of external funding to pay for </w:t>
      </w:r>
      <w:proofErr w:type="spellStart"/>
      <w:r w:rsidR="00284813" w:rsidRPr="00284813">
        <w:rPr>
          <w:rFonts w:ascii="Noto Sans" w:eastAsia="Calibri" w:hAnsi="Noto Sans" w:cs="Noto Sans"/>
          <w:lang w:val="en-US" w:eastAsia="en-GB"/>
        </w:rPr>
        <w:t>decarbonisation</w:t>
      </w:r>
      <w:proofErr w:type="spellEnd"/>
      <w:r w:rsidR="00284813" w:rsidRPr="00284813">
        <w:rPr>
          <w:rFonts w:ascii="Noto Sans" w:eastAsia="Calibri" w:hAnsi="Noto Sans" w:cs="Noto Sans"/>
          <w:lang w:val="en-US" w:eastAsia="en-GB"/>
        </w:rPr>
        <w:t xml:space="preserve">, meeting higher regulatory standards and </w:t>
      </w:r>
      <w:r w:rsidR="005D38B1">
        <w:rPr>
          <w:rFonts w:ascii="Noto Sans" w:eastAsia="Calibri" w:hAnsi="Noto Sans" w:cs="Noto Sans"/>
          <w:lang w:val="en-US" w:eastAsia="en-GB"/>
        </w:rPr>
        <w:t>for the building</w:t>
      </w:r>
      <w:r w:rsidR="00284813" w:rsidRPr="00284813">
        <w:rPr>
          <w:rFonts w:ascii="Noto Sans" w:eastAsia="Calibri" w:hAnsi="Noto Sans" w:cs="Noto Sans"/>
          <w:lang w:val="en-US" w:eastAsia="en-GB"/>
        </w:rPr>
        <w:t xml:space="preserve"> of new homes</w:t>
      </w:r>
      <w:r>
        <w:rPr>
          <w:rFonts w:ascii="Noto Sans" w:eastAsia="Calibri" w:hAnsi="Noto Sans" w:cs="Noto Sans"/>
          <w:lang w:val="en-US" w:eastAsia="en-GB"/>
        </w:rPr>
        <w:t>.</w:t>
      </w:r>
    </w:p>
    <w:p w14:paraId="32EEF6EE" w14:textId="77777777" w:rsidR="005B554A" w:rsidRDefault="00284813" w:rsidP="005B554A">
      <w:pPr>
        <w:numPr>
          <w:ilvl w:val="0"/>
          <w:numId w:val="16"/>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 xml:space="preserve">Changes to </w:t>
      </w:r>
      <w:r w:rsidR="0099317B">
        <w:rPr>
          <w:rFonts w:ascii="Noto Sans" w:eastAsia="Calibri" w:hAnsi="Noto Sans" w:cs="Noto Sans"/>
          <w:lang w:val="en-US" w:eastAsia="en-GB"/>
        </w:rPr>
        <w:t>n</w:t>
      </w:r>
      <w:r w:rsidRPr="00284813">
        <w:rPr>
          <w:rFonts w:ascii="Noto Sans" w:eastAsia="Calibri" w:hAnsi="Noto Sans" w:cs="Noto Sans"/>
          <w:lang w:val="en-US" w:eastAsia="en-GB"/>
        </w:rPr>
        <w:t xml:space="preserve">ational policy on the </w:t>
      </w:r>
      <w:r w:rsidR="005D38B1">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5D38B1">
        <w:rPr>
          <w:rFonts w:ascii="Noto Sans" w:eastAsia="Calibri" w:hAnsi="Noto Sans" w:cs="Noto Sans"/>
          <w:lang w:val="en-US" w:eastAsia="en-GB"/>
        </w:rPr>
        <w:t>B</w:t>
      </w:r>
      <w:r w:rsidRPr="00284813">
        <w:rPr>
          <w:rFonts w:ascii="Noto Sans" w:eastAsia="Calibri" w:hAnsi="Noto Sans" w:cs="Noto Sans"/>
          <w:lang w:val="en-US" w:eastAsia="en-GB"/>
        </w:rPr>
        <w:t>uy</w:t>
      </w:r>
      <w:r w:rsidR="005D38B1">
        <w:rPr>
          <w:rFonts w:ascii="Noto Sans" w:eastAsia="Calibri" w:hAnsi="Noto Sans" w:cs="Noto Sans"/>
          <w:lang w:val="en-US" w:eastAsia="en-GB"/>
        </w:rPr>
        <w:t>, which</w:t>
      </w:r>
      <w:r w:rsidRPr="00284813">
        <w:rPr>
          <w:rFonts w:ascii="Noto Sans" w:eastAsia="Calibri" w:hAnsi="Noto Sans" w:cs="Noto Sans"/>
          <w:lang w:val="en-US" w:eastAsia="en-GB"/>
        </w:rPr>
        <w:t xml:space="preserve"> are expected to be announced in the Autumn of 2024. Some of the details are currently unclear and their potential impact has yet to be quantified.</w:t>
      </w:r>
    </w:p>
    <w:p w14:paraId="7045DF9A" w14:textId="1483CC93" w:rsidR="00284813" w:rsidRPr="005B554A" w:rsidRDefault="00284813" w:rsidP="005B554A">
      <w:pPr>
        <w:spacing w:after="160" w:line="259" w:lineRule="auto"/>
        <w:contextualSpacing/>
        <w:rPr>
          <w:rFonts w:ascii="Noto Sans" w:eastAsia="Calibri" w:hAnsi="Noto Sans" w:cs="Noto Sans"/>
          <w:lang w:val="en-US" w:eastAsia="en-GB"/>
        </w:rPr>
      </w:pPr>
      <w:r w:rsidRPr="005B554A">
        <w:rPr>
          <w:rFonts w:ascii="Noto Sans" w:eastAsia="Calibri" w:hAnsi="Noto Sans" w:cs="Noto Sans"/>
          <w:lang w:val="en-US" w:eastAsia="en-GB"/>
        </w:rPr>
        <w:t>These all represent areas of potential risk.</w:t>
      </w:r>
    </w:p>
    <w:p w14:paraId="43A00A09" w14:textId="77777777" w:rsidR="00284813" w:rsidRPr="00284813" w:rsidRDefault="00284813" w:rsidP="00284813">
      <w:pPr>
        <w:keepNext/>
        <w:keepLines/>
        <w:spacing w:before="360" w:after="80" w:line="259" w:lineRule="auto"/>
        <w:outlineLvl w:val="0"/>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Baseline position</w:t>
      </w:r>
    </w:p>
    <w:p w14:paraId="6DADD51B" w14:textId="77777777" w:rsidR="00284813" w:rsidRPr="00284813" w:rsidRDefault="00284813" w:rsidP="00284813">
      <w:pPr>
        <w:keepNext/>
        <w:keepLines/>
        <w:spacing w:before="160" w:after="80" w:line="259" w:lineRule="auto"/>
        <w:outlineLvl w:val="1"/>
        <w:rPr>
          <w:rFonts w:ascii="Noto Sans" w:eastAsia="Calibri" w:hAnsi="Noto Sans" w:cs="Noto Sans"/>
          <w:b/>
          <w:bCs/>
          <w:color w:val="BD8F00" w:themeColor="accent4"/>
          <w:lang w:val="en-US" w:eastAsia="en-GB"/>
        </w:rPr>
      </w:pPr>
      <w:r w:rsidRPr="00284813">
        <w:rPr>
          <w:rFonts w:ascii="Noto Sans" w:eastAsia="Calibri" w:hAnsi="Noto Sans" w:cs="Noto Sans"/>
          <w:b/>
          <w:bCs/>
          <w:color w:val="BD8F00" w:themeColor="accent4"/>
          <w:lang w:val="en-US" w:eastAsia="en-GB"/>
        </w:rPr>
        <w:t>Key assumptions</w:t>
      </w:r>
    </w:p>
    <w:p w14:paraId="40D564D8" w14:textId="413A9FA4" w:rsidR="00284813" w:rsidRPr="00963195"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Baseline position assumes that </w:t>
      </w:r>
      <w:r w:rsidR="003A5EDC">
        <w:rPr>
          <w:rFonts w:ascii="Noto Sans" w:eastAsia="Calibri" w:hAnsi="Noto Sans" w:cs="Noto Sans"/>
          <w:lang w:val="en-US" w:eastAsia="en-GB"/>
        </w:rPr>
        <w:t>we continue to</w:t>
      </w:r>
      <w:r w:rsidRPr="00284813">
        <w:rPr>
          <w:rFonts w:ascii="Noto Sans" w:eastAsia="Calibri" w:hAnsi="Noto Sans" w:cs="Noto Sans"/>
          <w:lang w:val="en-US" w:eastAsia="en-GB"/>
        </w:rPr>
        <w:t xml:space="preserve"> deliver</w:t>
      </w:r>
      <w:r w:rsidR="003A5EDC">
        <w:rPr>
          <w:rFonts w:ascii="Noto Sans" w:eastAsia="Calibri" w:hAnsi="Noto Sans" w:cs="Noto Sans"/>
          <w:lang w:val="en-US" w:eastAsia="en-GB"/>
        </w:rPr>
        <w:t xml:space="preserve"> our</w:t>
      </w:r>
      <w:r w:rsidRPr="00284813">
        <w:rPr>
          <w:rFonts w:ascii="Noto Sans" w:eastAsia="Calibri" w:hAnsi="Noto Sans" w:cs="Noto Sans"/>
          <w:lang w:val="en-US" w:eastAsia="en-GB"/>
        </w:rPr>
        <w:t xml:space="preserve"> existing plans and continue to manage the HRA in line with existing budgets and policies. These projections allow for</w:t>
      </w:r>
      <w:r w:rsidRPr="00963195">
        <w:rPr>
          <w:rFonts w:ascii="Noto Sans" w:eastAsia="Calibri" w:hAnsi="Noto Sans" w:cs="Noto Sans"/>
          <w:lang w:val="en-US" w:eastAsia="en-GB"/>
        </w:rPr>
        <w:t>:</w:t>
      </w:r>
    </w:p>
    <w:p w14:paraId="0E9B192A" w14:textId="7FA19FAB" w:rsidR="003B628A" w:rsidRDefault="003B628A" w:rsidP="00D33A64">
      <w:pPr>
        <w:numPr>
          <w:ilvl w:val="0"/>
          <w:numId w:val="17"/>
        </w:numPr>
        <w:spacing w:after="160" w:line="259" w:lineRule="auto"/>
        <w:contextualSpacing/>
        <w:rPr>
          <w:rFonts w:ascii="Noto Sans" w:eastAsia="Calibri" w:hAnsi="Noto Sans" w:cs="Noto Sans"/>
          <w:lang w:val="en-US" w:eastAsia="en-GB"/>
        </w:rPr>
      </w:pPr>
      <w:r>
        <w:rPr>
          <w:rFonts w:ascii="Noto Sans" w:eastAsia="Calibri" w:hAnsi="Noto Sans" w:cs="Noto Sans"/>
          <w:lang w:val="en-US" w:eastAsia="en-GB"/>
        </w:rPr>
        <w:t>A</w:t>
      </w:r>
      <w:r w:rsidRPr="003B628A">
        <w:rPr>
          <w:rFonts w:ascii="Noto Sans" w:eastAsia="Calibri" w:hAnsi="Noto Sans" w:cs="Noto Sans"/>
          <w:lang w:val="en-US" w:eastAsia="en-GB"/>
        </w:rPr>
        <w:t>cquisition by the HRA of 352 dwellings for social rent between 2024/25 and 2027/28</w:t>
      </w:r>
    </w:p>
    <w:p w14:paraId="558A8C02" w14:textId="27FD1F5C" w:rsidR="00284813" w:rsidRPr="00963195" w:rsidRDefault="00284813" w:rsidP="00D33A64">
      <w:pPr>
        <w:numPr>
          <w:ilvl w:val="0"/>
          <w:numId w:val="17"/>
        </w:numPr>
        <w:spacing w:after="160" w:line="259" w:lineRule="auto"/>
        <w:contextualSpacing/>
        <w:rPr>
          <w:rFonts w:ascii="Noto Sans" w:eastAsia="Calibri" w:hAnsi="Noto Sans" w:cs="Noto Sans"/>
          <w:lang w:val="en-US" w:eastAsia="en-GB"/>
        </w:rPr>
      </w:pPr>
      <w:r w:rsidRPr="00963195">
        <w:rPr>
          <w:rFonts w:ascii="Noto Sans" w:eastAsia="Calibri" w:hAnsi="Noto Sans" w:cs="Noto Sans"/>
          <w:lang w:val="en-US" w:eastAsia="en-GB"/>
        </w:rPr>
        <w:t xml:space="preserve">An ambitious medium term development </w:t>
      </w:r>
      <w:proofErr w:type="spellStart"/>
      <w:r w:rsidRPr="00963195">
        <w:rPr>
          <w:rFonts w:ascii="Noto Sans" w:eastAsia="Calibri" w:hAnsi="Noto Sans" w:cs="Noto Sans"/>
          <w:lang w:val="en-US" w:eastAsia="en-GB"/>
        </w:rPr>
        <w:t>programme</w:t>
      </w:r>
      <w:proofErr w:type="spellEnd"/>
      <w:r w:rsidRPr="00963195">
        <w:rPr>
          <w:rFonts w:ascii="Noto Sans" w:eastAsia="Calibri" w:hAnsi="Noto Sans" w:cs="Noto Sans"/>
          <w:lang w:val="en-US" w:eastAsia="en-GB"/>
        </w:rPr>
        <w:t xml:space="preserve">, which delivers </w:t>
      </w:r>
      <w:bookmarkStart w:id="2" w:name="_Hlk175655258"/>
      <w:r w:rsidR="003B628A">
        <w:rPr>
          <w:rFonts w:ascii="Noto Sans" w:eastAsia="Calibri" w:hAnsi="Noto Sans" w:cs="Noto Sans"/>
          <w:lang w:val="en-US" w:eastAsia="en-GB"/>
        </w:rPr>
        <w:t xml:space="preserve">a further </w:t>
      </w:r>
      <w:r w:rsidRPr="00963195">
        <w:rPr>
          <w:rFonts w:ascii="Noto Sans" w:eastAsia="Calibri" w:hAnsi="Noto Sans" w:cs="Noto Sans"/>
          <w:lang w:val="en-US" w:eastAsia="en-GB"/>
        </w:rPr>
        <w:t>1,</w:t>
      </w:r>
      <w:r w:rsidR="00B903EB" w:rsidRPr="00963195">
        <w:rPr>
          <w:rFonts w:ascii="Noto Sans" w:eastAsia="Calibri" w:hAnsi="Noto Sans" w:cs="Noto Sans"/>
          <w:lang w:val="en-US" w:eastAsia="en-GB"/>
        </w:rPr>
        <w:t>0</w:t>
      </w:r>
      <w:r w:rsidR="00B903EB">
        <w:rPr>
          <w:rFonts w:ascii="Noto Sans" w:eastAsia="Calibri" w:hAnsi="Noto Sans" w:cs="Noto Sans"/>
          <w:lang w:val="en-US" w:eastAsia="en-GB"/>
        </w:rPr>
        <w:t>21</w:t>
      </w:r>
      <w:r w:rsidR="00B903EB" w:rsidRPr="00963195">
        <w:rPr>
          <w:rFonts w:ascii="Noto Sans" w:eastAsia="Calibri" w:hAnsi="Noto Sans" w:cs="Noto Sans"/>
          <w:lang w:val="en-US" w:eastAsia="en-GB"/>
        </w:rPr>
        <w:t xml:space="preserve"> </w:t>
      </w:r>
      <w:r w:rsidRPr="00963195">
        <w:rPr>
          <w:rFonts w:ascii="Noto Sans" w:eastAsia="Calibri" w:hAnsi="Noto Sans" w:cs="Noto Sans"/>
          <w:lang w:val="en-US" w:eastAsia="en-GB"/>
        </w:rPr>
        <w:t>new homes</w:t>
      </w:r>
      <w:r w:rsidR="00963195" w:rsidRPr="00963195">
        <w:rPr>
          <w:rFonts w:ascii="Noto Sans" w:eastAsia="Calibri" w:hAnsi="Noto Sans" w:cs="Noto Sans"/>
          <w:lang w:val="en-US" w:eastAsia="en-GB"/>
        </w:rPr>
        <w:t>, financed up to</w:t>
      </w:r>
      <w:r w:rsidRPr="00963195">
        <w:rPr>
          <w:rFonts w:ascii="Noto Sans" w:eastAsia="Calibri" w:hAnsi="Noto Sans" w:cs="Noto Sans"/>
          <w:lang w:val="en-US" w:eastAsia="en-GB"/>
        </w:rPr>
        <w:t xml:space="preserve"> 2028/29</w:t>
      </w:r>
      <w:bookmarkEnd w:id="2"/>
      <w:r w:rsidR="00963195" w:rsidRPr="00963195">
        <w:rPr>
          <w:rFonts w:ascii="Noto Sans" w:eastAsia="Calibri" w:hAnsi="Noto Sans" w:cs="Noto Sans"/>
          <w:lang w:val="en-US" w:eastAsia="en-GB"/>
        </w:rPr>
        <w:t xml:space="preserve"> and delivered up to 2030/31</w:t>
      </w:r>
      <w:r w:rsidR="003A5EDC" w:rsidRPr="00963195">
        <w:rPr>
          <w:rFonts w:ascii="Noto Sans" w:eastAsia="Calibri" w:hAnsi="Noto Sans" w:cs="Noto Sans"/>
          <w:lang w:val="en-US" w:eastAsia="en-GB"/>
        </w:rPr>
        <w:t>.</w:t>
      </w:r>
    </w:p>
    <w:p w14:paraId="3F2A04E4" w14:textId="70C841C0" w:rsidR="00284813" w:rsidRPr="00284813" w:rsidRDefault="00284813" w:rsidP="00D33A64">
      <w:pPr>
        <w:numPr>
          <w:ilvl w:val="0"/>
          <w:numId w:val="17"/>
        </w:numPr>
        <w:spacing w:after="160" w:line="259" w:lineRule="auto"/>
        <w:ind w:left="765" w:hanging="357"/>
        <w:rPr>
          <w:rFonts w:ascii="Noto Sans" w:eastAsia="Calibri" w:hAnsi="Noto Sans" w:cs="Noto Sans"/>
          <w:lang w:val="en-US" w:eastAsia="en-GB"/>
        </w:rPr>
      </w:pPr>
      <w:r w:rsidRPr="00284813">
        <w:rPr>
          <w:rFonts w:ascii="Noto Sans" w:eastAsia="Calibri" w:hAnsi="Noto Sans" w:cs="Noto Sans"/>
          <w:lang w:val="en-US" w:eastAsia="en-GB"/>
        </w:rPr>
        <w:lastRenderedPageBreak/>
        <w:t xml:space="preserve">Delivery of </w:t>
      </w:r>
      <w:r w:rsidR="0083045D">
        <w:rPr>
          <w:rFonts w:ascii="Noto Sans" w:eastAsia="Calibri" w:hAnsi="Noto Sans" w:cs="Noto Sans"/>
          <w:lang w:val="en-US" w:eastAsia="en-GB"/>
        </w:rPr>
        <w:t>our</w:t>
      </w:r>
      <w:r w:rsidRPr="00284813">
        <w:rPr>
          <w:rFonts w:ascii="Noto Sans" w:eastAsia="Calibri" w:hAnsi="Noto Sans" w:cs="Noto Sans"/>
          <w:lang w:val="en-US" w:eastAsia="en-GB"/>
        </w:rPr>
        <w:t xml:space="preserve"> existing medium</w:t>
      </w:r>
      <w:r w:rsidR="0083045D">
        <w:rPr>
          <w:rFonts w:ascii="Noto Sans" w:eastAsia="Calibri" w:hAnsi="Noto Sans" w:cs="Noto Sans"/>
          <w:lang w:val="en-US" w:eastAsia="en-GB"/>
        </w:rPr>
        <w:t>-</w:t>
      </w:r>
      <w:r w:rsidRPr="00284813">
        <w:rPr>
          <w:rFonts w:ascii="Noto Sans" w:eastAsia="Calibri" w:hAnsi="Noto Sans" w:cs="Noto Sans"/>
          <w:lang w:val="en-US" w:eastAsia="en-GB"/>
        </w:rPr>
        <w:t xml:space="preserve">term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w:t>
      </w:r>
      <w:r w:rsidR="0083045D">
        <w:rPr>
          <w:rFonts w:ascii="Noto Sans" w:eastAsia="Calibri" w:hAnsi="Noto Sans" w:cs="Noto Sans"/>
          <w:lang w:val="en-US" w:eastAsia="en-GB"/>
        </w:rPr>
        <w:t xml:space="preserve">of </w:t>
      </w:r>
      <w:proofErr w:type="spellStart"/>
      <w:r w:rsidRPr="00284813">
        <w:rPr>
          <w:rFonts w:ascii="Noto Sans" w:eastAsia="Calibri" w:hAnsi="Noto Sans" w:cs="Noto Sans"/>
          <w:lang w:val="en-US" w:eastAsia="en-GB"/>
        </w:rPr>
        <w:t>decarbonisation</w:t>
      </w:r>
      <w:proofErr w:type="spellEnd"/>
      <w:r w:rsidRPr="00284813">
        <w:rPr>
          <w:rFonts w:ascii="Noto Sans" w:eastAsia="Calibri" w:hAnsi="Noto Sans" w:cs="Noto Sans"/>
          <w:lang w:val="en-US" w:eastAsia="en-GB"/>
        </w:rPr>
        <w:t xml:space="preserve"> works, which runs until 2027/28</w:t>
      </w:r>
      <w:r w:rsidR="0083045D">
        <w:rPr>
          <w:rFonts w:ascii="Noto Sans" w:eastAsia="Calibri" w:hAnsi="Noto Sans" w:cs="Noto Sans"/>
          <w:lang w:val="en-US" w:eastAsia="en-GB"/>
        </w:rPr>
        <w:t>.</w:t>
      </w:r>
    </w:p>
    <w:p w14:paraId="4A0A6257" w14:textId="11500D8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projections also incorporate emerging information from </w:t>
      </w:r>
      <w:r w:rsidR="0083045D">
        <w:rPr>
          <w:rFonts w:ascii="Noto Sans" w:eastAsia="Calibri" w:hAnsi="Noto Sans" w:cs="Noto Sans"/>
          <w:lang w:val="en-US" w:eastAsia="en-GB"/>
        </w:rPr>
        <w:t>our</w:t>
      </w:r>
      <w:r w:rsidRPr="00284813">
        <w:rPr>
          <w:rFonts w:ascii="Noto Sans" w:eastAsia="Calibri" w:hAnsi="Noto Sans" w:cs="Noto Sans"/>
          <w:lang w:val="en-US" w:eastAsia="en-GB"/>
        </w:rPr>
        <w:t xml:space="preserve"> ongoing stock condition survey. They allow for long term investment in the housing stock to increase to £55,172 per property over 30 years, an average of £1,839 per dwelling each year (both at current prices). This represents investment in key components, such as kitchens, bathrooms, doors and windows and is at a level that is consistent with those that we see at comparable social landlords.</w:t>
      </w:r>
    </w:p>
    <w:p w14:paraId="0B6B7056" w14:textId="15DE6F23"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The projections assume underlying inflation forecasts for the consumer prices index (CPI) provided by the Bank of England, settling at the long</w:t>
      </w:r>
      <w:r w:rsidR="0091515D">
        <w:rPr>
          <w:rFonts w:ascii="Noto Sans" w:eastAsia="Calibri" w:hAnsi="Noto Sans" w:cs="Noto Sans"/>
          <w:lang w:val="en-US" w:eastAsia="en-GB"/>
        </w:rPr>
        <w:t>-</w:t>
      </w:r>
      <w:r w:rsidRPr="00284813">
        <w:rPr>
          <w:rFonts w:ascii="Noto Sans" w:eastAsia="Calibri" w:hAnsi="Noto Sans" w:cs="Noto Sans"/>
          <w:lang w:val="en-US" w:eastAsia="en-GB"/>
        </w:rPr>
        <w:t>term government planning total of 2% from 2027/28. Key income and expenditure lines have been linked to these forecasts as follows:</w:t>
      </w:r>
    </w:p>
    <w:p w14:paraId="33C146B8" w14:textId="77777777"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Rents increase by CPI +1% in 2025/26 (in line with policy announced by the previous government).</w:t>
      </w:r>
    </w:p>
    <w:p w14:paraId="18C2D285" w14:textId="2BE2AEC5"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Rents increase by CPI only from 2026/27 onwards. This is a prudent assumption, in the absence of a stated </w:t>
      </w:r>
      <w:r w:rsidR="005B5CD9">
        <w:rPr>
          <w:rFonts w:ascii="Noto Sans" w:eastAsia="Calibri" w:hAnsi="Noto Sans" w:cs="Noto Sans"/>
          <w:lang w:val="en-US" w:eastAsia="en-GB"/>
        </w:rPr>
        <w:t>n</w:t>
      </w:r>
      <w:r w:rsidRPr="00284813">
        <w:rPr>
          <w:rFonts w:ascii="Noto Sans" w:eastAsia="Calibri" w:hAnsi="Noto Sans" w:cs="Noto Sans"/>
          <w:lang w:val="en-US" w:eastAsia="en-GB"/>
        </w:rPr>
        <w:t>ational policy, that is consistent with position taken by other social landlords.</w:t>
      </w:r>
    </w:p>
    <w:p w14:paraId="0512EB59" w14:textId="526494B5" w:rsidR="00284813" w:rsidRPr="00284813" w:rsidRDefault="00284813" w:rsidP="00D33A64">
      <w:pPr>
        <w:numPr>
          <w:ilvl w:val="0"/>
          <w:numId w:val="18"/>
        </w:numPr>
        <w:spacing w:after="160" w:line="259" w:lineRule="auto"/>
        <w:contextualSpacing/>
        <w:rPr>
          <w:rFonts w:ascii="Noto Sans" w:eastAsia="Calibri" w:hAnsi="Noto Sans" w:cs="Noto Sans"/>
          <w:lang w:val="en-US" w:eastAsia="en-GB"/>
        </w:rPr>
      </w:pPr>
      <w:r w:rsidRPr="00284813">
        <w:rPr>
          <w:rFonts w:ascii="Noto Sans" w:eastAsia="Calibri" w:hAnsi="Noto Sans" w:cs="Noto Sans"/>
          <w:lang w:val="en-US" w:eastAsia="en-GB"/>
        </w:rPr>
        <w:t xml:space="preserve">Building costs increase at CPI +1%. This </w:t>
      </w:r>
      <w:proofErr w:type="spellStart"/>
      <w:r w:rsidRPr="00284813">
        <w:rPr>
          <w:rFonts w:ascii="Noto Sans" w:eastAsia="Calibri" w:hAnsi="Noto Sans" w:cs="Noto Sans"/>
          <w:lang w:val="en-US" w:eastAsia="en-GB"/>
        </w:rPr>
        <w:t>recognises</w:t>
      </w:r>
      <w:proofErr w:type="spellEnd"/>
      <w:r w:rsidRPr="00284813">
        <w:rPr>
          <w:rFonts w:ascii="Noto Sans" w:eastAsia="Calibri" w:hAnsi="Noto Sans" w:cs="Noto Sans"/>
          <w:lang w:val="en-US" w:eastAsia="en-GB"/>
        </w:rPr>
        <w:t xml:space="preserve"> the potential volatility of these costs and is reflective of long</w:t>
      </w:r>
      <w:r w:rsidR="0091515D">
        <w:rPr>
          <w:rFonts w:ascii="Noto Sans" w:eastAsia="Calibri" w:hAnsi="Noto Sans" w:cs="Noto Sans"/>
          <w:lang w:val="en-US" w:eastAsia="en-GB"/>
        </w:rPr>
        <w:t>-</w:t>
      </w:r>
      <w:r w:rsidRPr="00284813">
        <w:rPr>
          <w:rFonts w:ascii="Noto Sans" w:eastAsia="Calibri" w:hAnsi="Noto Sans" w:cs="Noto Sans"/>
          <w:lang w:val="en-US" w:eastAsia="en-GB"/>
        </w:rPr>
        <w:t>term trends.</w:t>
      </w:r>
    </w:p>
    <w:p w14:paraId="41DB5D32" w14:textId="77777777" w:rsidR="00284813" w:rsidRPr="00284813" w:rsidRDefault="00284813" w:rsidP="00D33A64">
      <w:pPr>
        <w:numPr>
          <w:ilvl w:val="0"/>
          <w:numId w:val="18"/>
        </w:numPr>
        <w:spacing w:after="160" w:line="259" w:lineRule="auto"/>
        <w:ind w:left="714" w:hanging="357"/>
        <w:rPr>
          <w:rFonts w:ascii="Noto Sans" w:eastAsia="Calibri" w:hAnsi="Noto Sans" w:cs="Noto Sans"/>
          <w:lang w:val="en-US" w:eastAsia="en-GB"/>
        </w:rPr>
      </w:pPr>
      <w:r w:rsidRPr="00284813">
        <w:rPr>
          <w:rFonts w:ascii="Noto Sans" w:eastAsia="Calibri" w:hAnsi="Noto Sans" w:cs="Noto Sans"/>
          <w:lang w:val="en-US" w:eastAsia="en-GB"/>
        </w:rPr>
        <w:t>Interest rates payable on new borrowing reflect the authority’s own projections over the medium term, settling at 3.5% pa from 2029/30 onwards.</w:t>
      </w:r>
    </w:p>
    <w:p w14:paraId="179312EB" w14:textId="6CEC41F0"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projected development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makes use of retained </w:t>
      </w:r>
      <w:r w:rsidR="0091515D">
        <w:rPr>
          <w:rFonts w:ascii="Noto Sans" w:eastAsia="Calibri" w:hAnsi="Noto Sans" w:cs="Noto Sans"/>
          <w:lang w:val="en-US" w:eastAsia="en-GB"/>
        </w:rPr>
        <w:t>R</w:t>
      </w:r>
      <w:r w:rsidRPr="00284813">
        <w:rPr>
          <w:rFonts w:ascii="Noto Sans" w:eastAsia="Calibri" w:hAnsi="Noto Sans" w:cs="Noto Sans"/>
          <w:lang w:val="en-US" w:eastAsia="en-GB"/>
        </w:rPr>
        <w:t xml:space="preserve">ight to </w:t>
      </w:r>
      <w:r w:rsidR="0091515D">
        <w:rPr>
          <w:rFonts w:ascii="Noto Sans" w:eastAsia="Calibri" w:hAnsi="Noto Sans" w:cs="Noto Sans"/>
          <w:lang w:val="en-US" w:eastAsia="en-GB"/>
        </w:rPr>
        <w:t>B</w:t>
      </w:r>
      <w:r w:rsidRPr="00284813">
        <w:rPr>
          <w:rFonts w:ascii="Noto Sans" w:eastAsia="Calibri" w:hAnsi="Noto Sans" w:cs="Noto Sans"/>
          <w:lang w:val="en-US" w:eastAsia="en-GB"/>
        </w:rPr>
        <w:t xml:space="preserve">uy (RTB) receipts in line with the rules that are currently applied. </w:t>
      </w:r>
      <w:r w:rsidR="0091515D" w:rsidRPr="00284813">
        <w:rPr>
          <w:rFonts w:ascii="Noto Sans" w:eastAsia="Calibri" w:hAnsi="Noto Sans" w:cs="Noto Sans"/>
          <w:lang w:val="en-US" w:eastAsia="en-GB"/>
        </w:rPr>
        <w:t>At</w:t>
      </w:r>
      <w:r w:rsidRPr="00284813">
        <w:rPr>
          <w:rFonts w:ascii="Noto Sans" w:eastAsia="Calibri" w:hAnsi="Noto Sans" w:cs="Noto Sans"/>
          <w:lang w:val="en-US" w:eastAsia="en-GB"/>
        </w:rPr>
        <w:t xml:space="preserve"> the end of that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the projections assume </w:t>
      </w:r>
      <w:r w:rsidR="0091515D">
        <w:rPr>
          <w:rFonts w:ascii="Noto Sans" w:eastAsia="Calibri" w:hAnsi="Noto Sans" w:cs="Noto Sans"/>
          <w:lang w:val="en-US" w:eastAsia="en-GB"/>
        </w:rPr>
        <w:t>we will</w:t>
      </w:r>
      <w:r w:rsidRPr="00284813">
        <w:rPr>
          <w:rFonts w:ascii="Noto Sans" w:eastAsia="Calibri" w:hAnsi="Noto Sans" w:cs="Noto Sans"/>
          <w:lang w:val="en-US" w:eastAsia="en-GB"/>
        </w:rPr>
        <w:t xml:space="preserve"> avoid potential penalties from </w:t>
      </w:r>
      <w:proofErr w:type="spellStart"/>
      <w:r w:rsidRPr="00284813">
        <w:rPr>
          <w:rFonts w:ascii="Noto Sans" w:eastAsia="Calibri" w:hAnsi="Noto Sans" w:cs="Noto Sans"/>
          <w:lang w:val="en-US" w:eastAsia="en-GB"/>
        </w:rPr>
        <w:t>under</w:t>
      </w:r>
      <w:r w:rsidR="0091515D">
        <w:rPr>
          <w:rFonts w:ascii="Noto Sans" w:eastAsia="Calibri" w:hAnsi="Noto Sans" w:cs="Noto Sans"/>
          <w:lang w:val="en-US" w:eastAsia="en-GB"/>
        </w:rPr>
        <w:t>-</w:t>
      </w:r>
      <w:r w:rsidRPr="00284813">
        <w:rPr>
          <w:rFonts w:ascii="Noto Sans" w:eastAsia="Calibri" w:hAnsi="Noto Sans" w:cs="Noto Sans"/>
          <w:lang w:val="en-US" w:eastAsia="en-GB"/>
        </w:rPr>
        <w:t>utilising</w:t>
      </w:r>
      <w:proofErr w:type="spellEnd"/>
      <w:r w:rsidRPr="00284813">
        <w:rPr>
          <w:rFonts w:ascii="Noto Sans" w:eastAsia="Calibri" w:hAnsi="Noto Sans" w:cs="Noto Sans"/>
          <w:lang w:val="en-US" w:eastAsia="en-GB"/>
        </w:rPr>
        <w:t xml:space="preserve"> retained RTB receipts by either making them available to a housing association or returning them to government. </w:t>
      </w:r>
    </w:p>
    <w:p w14:paraId="00498D5A" w14:textId="7C7CE802" w:rsidR="00284813" w:rsidRPr="00284813" w:rsidRDefault="0091515D"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Our</w:t>
      </w:r>
      <w:r w:rsidR="00284813" w:rsidRPr="00284813">
        <w:rPr>
          <w:rFonts w:ascii="Noto Sans" w:eastAsia="Calibri" w:hAnsi="Noto Sans" w:cs="Noto Sans"/>
          <w:lang w:val="en-US" w:eastAsia="en-GB"/>
        </w:rPr>
        <w:t xml:space="preserve"> planned use of other capital receipts (primarily generated from the right to buy) has been mirrored until the end of the existing medium term capital </w:t>
      </w:r>
      <w:proofErr w:type="spellStart"/>
      <w:r w:rsidR="00284813" w:rsidRPr="00284813">
        <w:rPr>
          <w:rFonts w:ascii="Noto Sans" w:eastAsia="Calibri" w:hAnsi="Noto Sans" w:cs="Noto Sans"/>
          <w:lang w:val="en-US" w:eastAsia="en-GB"/>
        </w:rPr>
        <w:t>programme</w:t>
      </w:r>
      <w:proofErr w:type="spellEnd"/>
      <w:r w:rsidR="00284813" w:rsidRPr="00284813">
        <w:rPr>
          <w:rFonts w:ascii="Noto Sans" w:eastAsia="Calibri" w:hAnsi="Noto Sans" w:cs="Noto Sans"/>
          <w:lang w:val="en-US" w:eastAsia="en-GB"/>
        </w:rPr>
        <w:t>. Thereafter, the projections assume that these receipts w</w:t>
      </w:r>
      <w:r>
        <w:rPr>
          <w:rFonts w:ascii="Noto Sans" w:eastAsia="Calibri" w:hAnsi="Noto Sans" w:cs="Noto Sans"/>
          <w:lang w:val="en-US" w:eastAsia="en-GB"/>
        </w:rPr>
        <w:t>ill</w:t>
      </w:r>
      <w:r w:rsidR="00284813" w:rsidRPr="00284813">
        <w:rPr>
          <w:rFonts w:ascii="Noto Sans" w:eastAsia="Calibri" w:hAnsi="Noto Sans" w:cs="Noto Sans"/>
          <w:lang w:val="en-US" w:eastAsia="en-GB"/>
        </w:rPr>
        <w:t xml:space="preserve"> be allocated separately by the </w:t>
      </w:r>
      <w:r>
        <w:rPr>
          <w:rFonts w:ascii="Noto Sans" w:eastAsia="Calibri" w:hAnsi="Noto Sans" w:cs="Noto Sans"/>
          <w:lang w:val="en-US" w:eastAsia="en-GB"/>
        </w:rPr>
        <w:t>C</w:t>
      </w:r>
      <w:r w:rsidR="00284813" w:rsidRPr="00284813">
        <w:rPr>
          <w:rFonts w:ascii="Noto Sans" w:eastAsia="Calibri" w:hAnsi="Noto Sans" w:cs="Noto Sans"/>
          <w:lang w:val="en-US" w:eastAsia="en-GB"/>
        </w:rPr>
        <w:t xml:space="preserve">ouncil and not made available automatically to pay for the HRA capital </w:t>
      </w:r>
      <w:proofErr w:type="spellStart"/>
      <w:r w:rsidR="00284813" w:rsidRPr="00284813">
        <w:rPr>
          <w:rFonts w:ascii="Noto Sans" w:eastAsia="Calibri" w:hAnsi="Noto Sans" w:cs="Noto Sans"/>
          <w:lang w:val="en-US" w:eastAsia="en-GB"/>
        </w:rPr>
        <w:t>programme</w:t>
      </w:r>
      <w:proofErr w:type="spellEnd"/>
      <w:r w:rsidR="00284813" w:rsidRPr="00284813">
        <w:rPr>
          <w:rFonts w:ascii="Noto Sans" w:eastAsia="Calibri" w:hAnsi="Noto Sans" w:cs="Noto Sans"/>
          <w:lang w:val="en-US" w:eastAsia="en-GB"/>
        </w:rPr>
        <w:t xml:space="preserve"> or repay HRA-related debt.</w:t>
      </w:r>
    </w:p>
    <w:p w14:paraId="20C07037" w14:textId="7EEBA6FC"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No allowance has been made for external funding of </w:t>
      </w:r>
      <w:r w:rsidR="00201C26">
        <w:rPr>
          <w:rFonts w:ascii="Noto Sans" w:eastAsia="Calibri" w:hAnsi="Noto Sans" w:cs="Noto Sans"/>
          <w:lang w:val="en-US" w:eastAsia="en-GB"/>
        </w:rPr>
        <w:t>our</w:t>
      </w:r>
      <w:r w:rsidRPr="00284813">
        <w:rPr>
          <w:rFonts w:ascii="Noto Sans" w:eastAsia="Calibri" w:hAnsi="Noto Sans" w:cs="Noto Sans"/>
          <w:lang w:val="en-US" w:eastAsia="en-GB"/>
        </w:rPr>
        <w:t xml:space="preserve"> spending and investment plans that ha</w:t>
      </w:r>
      <w:r w:rsidR="0099317B">
        <w:rPr>
          <w:rFonts w:ascii="Noto Sans" w:eastAsia="Calibri" w:hAnsi="Noto Sans" w:cs="Noto Sans"/>
          <w:lang w:val="en-US" w:eastAsia="en-GB"/>
        </w:rPr>
        <w:t>ve</w:t>
      </w:r>
      <w:r w:rsidRPr="00284813">
        <w:rPr>
          <w:rFonts w:ascii="Noto Sans" w:eastAsia="Calibri" w:hAnsi="Noto Sans" w:cs="Noto Sans"/>
          <w:lang w:val="en-US" w:eastAsia="en-GB"/>
        </w:rPr>
        <w:t xml:space="preserve"> not already been secured.</w:t>
      </w:r>
    </w:p>
    <w:p w14:paraId="119DC281" w14:textId="2221739A" w:rsidR="00284813" w:rsidRPr="00284813" w:rsidRDefault="00812D3F"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lastRenderedPageBreak/>
        <w:t>Importantly, t</w:t>
      </w:r>
      <w:r w:rsidR="00284813" w:rsidRPr="00284813">
        <w:rPr>
          <w:rFonts w:ascii="Noto Sans" w:eastAsia="Calibri" w:hAnsi="Noto Sans" w:cs="Noto Sans"/>
          <w:lang w:val="en-US" w:eastAsia="en-GB"/>
        </w:rPr>
        <w:t xml:space="preserve">he Baseline does not allow for potential changes in policy, which may be announced by the new government in Autumn 2024. </w:t>
      </w:r>
    </w:p>
    <w:p w14:paraId="6C3B8C87" w14:textId="77777777" w:rsidR="00284813" w:rsidRPr="00284813" w:rsidRDefault="00284813" w:rsidP="00284813">
      <w:pPr>
        <w:keepNext/>
        <w:keepLines/>
        <w:spacing w:before="160" w:after="80" w:line="259" w:lineRule="auto"/>
        <w:outlineLvl w:val="1"/>
        <w:rPr>
          <w:rFonts w:ascii="Noto Sans" w:eastAsia="Calibri" w:hAnsi="Noto Sans" w:cs="Noto Sans"/>
          <w:b/>
          <w:bCs/>
          <w:color w:val="0070C0" w:themeColor="accent3"/>
          <w:sz w:val="28"/>
          <w:szCs w:val="28"/>
          <w:lang w:val="en-US" w:eastAsia="en-GB"/>
        </w:rPr>
      </w:pPr>
      <w:r w:rsidRPr="00284813">
        <w:rPr>
          <w:rFonts w:ascii="Noto Sans" w:eastAsia="Calibri" w:hAnsi="Noto Sans" w:cs="Noto Sans"/>
          <w:b/>
          <w:bCs/>
          <w:color w:val="0070C0" w:themeColor="accent3"/>
          <w:sz w:val="28"/>
          <w:szCs w:val="28"/>
          <w:lang w:val="en-US" w:eastAsia="en-GB"/>
        </w:rPr>
        <w:t xml:space="preserve">Baseline capital </w:t>
      </w:r>
      <w:proofErr w:type="spellStart"/>
      <w:r w:rsidRPr="00284813">
        <w:rPr>
          <w:rFonts w:ascii="Noto Sans" w:eastAsia="Calibri" w:hAnsi="Noto Sans" w:cs="Noto Sans"/>
          <w:b/>
          <w:bCs/>
          <w:color w:val="0070C0" w:themeColor="accent3"/>
          <w:sz w:val="28"/>
          <w:szCs w:val="28"/>
          <w:lang w:val="en-US" w:eastAsia="en-GB"/>
        </w:rPr>
        <w:t>programme</w:t>
      </w:r>
      <w:proofErr w:type="spellEnd"/>
    </w:p>
    <w:p w14:paraId="438B03B0" w14:textId="77777777" w:rsidR="00284813" w:rsidRPr="00284813" w:rsidRDefault="00284813" w:rsidP="00284813">
      <w:pPr>
        <w:keepNext/>
        <w:keepLines/>
        <w:spacing w:before="160" w:after="80" w:line="259" w:lineRule="auto"/>
        <w:outlineLvl w:val="1"/>
        <w:rPr>
          <w:rFonts w:ascii="Noto Sans" w:eastAsia="Calibri" w:hAnsi="Noto Sans" w:cs="Noto Sans"/>
          <w:b/>
          <w:bCs/>
          <w:color w:val="BD8F00" w:themeColor="accent4"/>
          <w:lang w:val="en-US" w:eastAsia="en-GB"/>
        </w:rPr>
      </w:pPr>
      <w:r w:rsidRPr="00284813">
        <w:rPr>
          <w:rFonts w:ascii="Noto Sans" w:eastAsia="Calibri" w:hAnsi="Noto Sans" w:cs="Noto Sans"/>
          <w:b/>
          <w:bCs/>
          <w:color w:val="BD8F00" w:themeColor="accent4"/>
          <w:lang w:val="en-US" w:eastAsia="en-GB"/>
        </w:rPr>
        <w:t>Baseline capital expenditure</w:t>
      </w:r>
    </w:p>
    <w:p w14:paraId="47195F76" w14:textId="2759BDE7"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chart below shows </w:t>
      </w:r>
      <w:r w:rsidR="00157AC7">
        <w:rPr>
          <w:rFonts w:ascii="Noto Sans" w:eastAsia="Calibri" w:hAnsi="Noto Sans" w:cs="Noto Sans"/>
          <w:lang w:val="en-US" w:eastAsia="en-GB"/>
        </w:rPr>
        <w:t xml:space="preserve">our </w:t>
      </w:r>
      <w:r w:rsidRPr="00284813">
        <w:rPr>
          <w:rFonts w:ascii="Noto Sans" w:eastAsia="Calibri" w:hAnsi="Noto Sans" w:cs="Noto Sans"/>
          <w:lang w:val="en-US" w:eastAsia="en-GB"/>
        </w:rPr>
        <w:t xml:space="preserve">projected levels of capital expenditure over a </w:t>
      </w:r>
      <w:proofErr w:type="gramStart"/>
      <w:r w:rsidRPr="00284813">
        <w:rPr>
          <w:rFonts w:ascii="Noto Sans" w:eastAsia="Calibri" w:hAnsi="Noto Sans" w:cs="Noto Sans"/>
          <w:lang w:val="en-US" w:eastAsia="en-GB"/>
        </w:rPr>
        <w:t>40 year</w:t>
      </w:r>
      <w:proofErr w:type="gramEnd"/>
      <w:r w:rsidRPr="00284813">
        <w:rPr>
          <w:rFonts w:ascii="Noto Sans" w:eastAsia="Calibri" w:hAnsi="Noto Sans" w:cs="Noto Sans"/>
          <w:lang w:val="en-US" w:eastAsia="en-GB"/>
        </w:rPr>
        <w:t xml:space="preserve"> period, from </w:t>
      </w:r>
      <w:r w:rsidR="00B903EB" w:rsidRPr="00284813">
        <w:rPr>
          <w:rFonts w:ascii="Noto Sans" w:eastAsia="Calibri" w:hAnsi="Noto Sans" w:cs="Noto Sans"/>
          <w:lang w:val="en-US" w:eastAsia="en-GB"/>
        </w:rPr>
        <w:t>202</w:t>
      </w:r>
      <w:r w:rsidR="00B903EB">
        <w:rPr>
          <w:rFonts w:ascii="Noto Sans" w:eastAsia="Calibri" w:hAnsi="Noto Sans" w:cs="Noto Sans"/>
          <w:lang w:val="en-US" w:eastAsia="en-GB"/>
        </w:rPr>
        <w:t>4</w:t>
      </w:r>
      <w:r w:rsidRPr="00284813">
        <w:rPr>
          <w:rFonts w:ascii="Noto Sans" w:eastAsia="Calibri" w:hAnsi="Noto Sans" w:cs="Noto Sans"/>
          <w:lang w:val="en-US" w:eastAsia="en-GB"/>
        </w:rPr>
        <w:t>/</w:t>
      </w:r>
      <w:r w:rsidR="00B903EB" w:rsidRPr="00284813">
        <w:rPr>
          <w:rFonts w:ascii="Noto Sans" w:eastAsia="Calibri" w:hAnsi="Noto Sans" w:cs="Noto Sans"/>
          <w:lang w:val="en-US" w:eastAsia="en-GB"/>
        </w:rPr>
        <w:t>2</w:t>
      </w:r>
      <w:r w:rsidR="00B903EB">
        <w:rPr>
          <w:rFonts w:ascii="Noto Sans" w:eastAsia="Calibri" w:hAnsi="Noto Sans" w:cs="Noto Sans"/>
          <w:lang w:val="en-US" w:eastAsia="en-GB"/>
        </w:rPr>
        <w:t>5</w:t>
      </w:r>
      <w:r w:rsidR="00B903EB" w:rsidRPr="00284813">
        <w:rPr>
          <w:rFonts w:ascii="Noto Sans" w:eastAsia="Calibri" w:hAnsi="Noto Sans" w:cs="Noto Sans"/>
          <w:lang w:val="en-US" w:eastAsia="en-GB"/>
        </w:rPr>
        <w:t xml:space="preserve"> </w:t>
      </w:r>
      <w:r w:rsidRPr="00284813">
        <w:rPr>
          <w:rFonts w:ascii="Noto Sans" w:eastAsia="Calibri" w:hAnsi="Noto Sans" w:cs="Noto Sans"/>
          <w:lang w:val="en-US" w:eastAsia="en-GB"/>
        </w:rPr>
        <w:t xml:space="preserve">to </w:t>
      </w:r>
      <w:r w:rsidR="00B903EB" w:rsidRPr="00284813">
        <w:rPr>
          <w:rFonts w:ascii="Noto Sans" w:eastAsia="Calibri" w:hAnsi="Noto Sans" w:cs="Noto Sans"/>
          <w:lang w:val="en-US" w:eastAsia="en-GB"/>
        </w:rPr>
        <w:t>206</w:t>
      </w:r>
      <w:r w:rsidR="00B903EB">
        <w:rPr>
          <w:rFonts w:ascii="Noto Sans" w:eastAsia="Calibri" w:hAnsi="Noto Sans" w:cs="Noto Sans"/>
          <w:lang w:val="en-US" w:eastAsia="en-GB"/>
        </w:rPr>
        <w:t>3</w:t>
      </w:r>
      <w:r w:rsidRPr="00284813">
        <w:rPr>
          <w:rFonts w:ascii="Noto Sans" w:eastAsia="Calibri" w:hAnsi="Noto Sans" w:cs="Noto Sans"/>
          <w:lang w:val="en-US" w:eastAsia="en-GB"/>
        </w:rPr>
        <w:t>/</w:t>
      </w:r>
      <w:r w:rsidR="00B903EB" w:rsidRPr="00284813">
        <w:rPr>
          <w:rFonts w:ascii="Noto Sans" w:eastAsia="Calibri" w:hAnsi="Noto Sans" w:cs="Noto Sans"/>
          <w:lang w:val="en-US" w:eastAsia="en-GB"/>
        </w:rPr>
        <w:t>6</w:t>
      </w:r>
      <w:r w:rsidR="00B903EB">
        <w:rPr>
          <w:rFonts w:ascii="Noto Sans" w:eastAsia="Calibri" w:hAnsi="Noto Sans" w:cs="Noto Sans"/>
          <w:lang w:val="en-US" w:eastAsia="en-GB"/>
        </w:rPr>
        <w:t>4</w:t>
      </w:r>
      <w:r w:rsidRPr="00284813">
        <w:rPr>
          <w:rFonts w:ascii="Noto Sans" w:eastAsia="Calibri" w:hAnsi="Noto Sans" w:cs="Noto Sans"/>
          <w:lang w:val="en-US" w:eastAsia="en-GB"/>
        </w:rPr>
        <w:t>:</w:t>
      </w:r>
    </w:p>
    <w:p w14:paraId="33701A9E" w14:textId="38D71C90" w:rsidR="00284813" w:rsidRPr="00284813" w:rsidRDefault="00B903EB" w:rsidP="00284813">
      <w:pPr>
        <w:spacing w:after="160" w:line="259" w:lineRule="auto"/>
        <w:rPr>
          <w:rFonts w:ascii="Aptos" w:eastAsia="Aptos" w:hAnsi="Aptos" w:cs="Times New Roman"/>
          <w:kern w:val="2"/>
          <w:sz w:val="22"/>
          <w:szCs w:val="22"/>
          <w14:ligatures w14:val="standardContextual"/>
        </w:rPr>
      </w:pPr>
      <w:r w:rsidRPr="00B903EB">
        <w:rPr>
          <w:noProof/>
        </w:rPr>
        <w:drawing>
          <wp:inline distT="0" distB="0" distL="0" distR="0" wp14:anchorId="31226A70" wp14:editId="21459B09">
            <wp:extent cx="5727700" cy="3366770"/>
            <wp:effectExtent l="0" t="0" r="6350" b="5080"/>
            <wp:docPr id="3113063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3366770"/>
                    </a:xfrm>
                    <a:prstGeom prst="rect">
                      <a:avLst/>
                    </a:prstGeom>
                    <a:noFill/>
                    <a:ln>
                      <a:noFill/>
                    </a:ln>
                  </pic:spPr>
                </pic:pic>
              </a:graphicData>
            </a:graphic>
          </wp:inline>
        </w:drawing>
      </w:r>
    </w:p>
    <w:p w14:paraId="6EB9F6B0" w14:textId="2EC657F9" w:rsidR="00284813" w:rsidRPr="00284813" w:rsidRDefault="009935A1" w:rsidP="00284813">
      <w:pPr>
        <w:spacing w:after="160" w:line="259" w:lineRule="auto"/>
        <w:rPr>
          <w:rFonts w:ascii="Noto Sans" w:eastAsia="Calibri" w:hAnsi="Noto Sans" w:cs="Noto Sans"/>
          <w:lang w:val="en-US" w:eastAsia="en-GB"/>
        </w:rPr>
      </w:pPr>
      <w:r>
        <w:rPr>
          <w:rFonts w:ascii="Noto Sans" w:eastAsia="Calibri" w:hAnsi="Noto Sans" w:cs="Noto Sans"/>
          <w:lang w:val="en-US" w:eastAsia="en-GB"/>
        </w:rPr>
        <w:t>The</w:t>
      </w:r>
      <w:r w:rsidR="00284813" w:rsidRPr="00284813">
        <w:rPr>
          <w:rFonts w:ascii="Noto Sans" w:eastAsia="Calibri" w:hAnsi="Noto Sans" w:cs="Noto Sans"/>
          <w:lang w:val="en-US" w:eastAsia="en-GB"/>
        </w:rPr>
        <w:t xml:space="preserve"> investment in the </w:t>
      </w:r>
      <w:r>
        <w:rPr>
          <w:rFonts w:ascii="Noto Sans" w:eastAsia="Calibri" w:hAnsi="Noto Sans" w:cs="Noto Sans"/>
          <w:lang w:val="en-US" w:eastAsia="en-GB"/>
        </w:rPr>
        <w:t>housing</w:t>
      </w:r>
      <w:r w:rsidR="00284813" w:rsidRPr="00284813">
        <w:rPr>
          <w:rFonts w:ascii="Noto Sans" w:eastAsia="Calibri" w:hAnsi="Noto Sans" w:cs="Noto Sans"/>
          <w:lang w:val="en-US" w:eastAsia="en-GB"/>
        </w:rPr>
        <w:t xml:space="preserve"> stock is shown as Major Works (</w:t>
      </w:r>
      <w:r w:rsidR="00123EF2">
        <w:rPr>
          <w:rFonts w:ascii="Noto Sans" w:eastAsia="Calibri" w:hAnsi="Noto Sans" w:cs="Noto Sans"/>
          <w:lang w:val="en-US" w:eastAsia="en-GB"/>
        </w:rPr>
        <w:t>purple</w:t>
      </w:r>
      <w:r w:rsidR="00284813" w:rsidRPr="00284813">
        <w:rPr>
          <w:rFonts w:ascii="Noto Sans" w:eastAsia="Calibri" w:hAnsi="Noto Sans" w:cs="Noto Sans"/>
          <w:lang w:val="en-US" w:eastAsia="en-GB"/>
        </w:rPr>
        <w:t xml:space="preserve"> area). The brown area shows delivery of new homes. Existing </w:t>
      </w:r>
      <w:proofErr w:type="spellStart"/>
      <w:r w:rsidR="00284813" w:rsidRPr="00284813">
        <w:rPr>
          <w:rFonts w:ascii="Noto Sans" w:eastAsia="Calibri" w:hAnsi="Noto Sans" w:cs="Noto Sans"/>
          <w:lang w:val="en-US" w:eastAsia="en-GB"/>
        </w:rPr>
        <w:t>decarbonisation</w:t>
      </w:r>
      <w:proofErr w:type="spellEnd"/>
      <w:r w:rsidR="00284813" w:rsidRPr="00284813">
        <w:rPr>
          <w:rFonts w:ascii="Noto Sans" w:eastAsia="Calibri" w:hAnsi="Noto Sans" w:cs="Noto Sans"/>
          <w:lang w:val="en-US" w:eastAsia="en-GB"/>
        </w:rPr>
        <w:t xml:space="preserve"> plans are included in the pink area and the red area shows medium term expenditure to address matters relating to regulatory compliance.</w:t>
      </w:r>
    </w:p>
    <w:p w14:paraId="6F39AF3A" w14:textId="77777777"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Major works spending steps up and down in line with anticipated </w:t>
      </w:r>
      <w:proofErr w:type="spellStart"/>
      <w:r w:rsidRPr="00284813">
        <w:rPr>
          <w:rFonts w:ascii="Noto Sans" w:eastAsia="Calibri" w:hAnsi="Noto Sans" w:cs="Noto Sans"/>
          <w:lang w:val="en-US" w:eastAsia="en-GB"/>
        </w:rPr>
        <w:t>programmes</w:t>
      </w:r>
      <w:proofErr w:type="spellEnd"/>
      <w:r w:rsidRPr="00284813">
        <w:rPr>
          <w:rFonts w:ascii="Noto Sans" w:eastAsia="Calibri" w:hAnsi="Noto Sans" w:cs="Noto Sans"/>
          <w:lang w:val="en-US" w:eastAsia="en-GB"/>
        </w:rPr>
        <w:t xml:space="preserve"> for replacing building components at the end of their useful lives.</w:t>
      </w:r>
    </w:p>
    <w:p w14:paraId="1304367D"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Baseline capital financing</w:t>
      </w:r>
    </w:p>
    <w:p w14:paraId="23AB1AF9" w14:textId="36CBB385" w:rsid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following chart shows use of resources to finance the projected levels of HRA capital expenditure over the same </w:t>
      </w:r>
      <w:proofErr w:type="gramStart"/>
      <w:r w:rsidRPr="00284813">
        <w:rPr>
          <w:rFonts w:ascii="Noto Sans" w:eastAsia="Calibri" w:hAnsi="Noto Sans" w:cs="Noto Sans"/>
          <w:lang w:val="en-US" w:eastAsia="en-GB"/>
        </w:rPr>
        <w:t>40 year</w:t>
      </w:r>
      <w:proofErr w:type="gramEnd"/>
      <w:r w:rsidRPr="00284813">
        <w:rPr>
          <w:rFonts w:ascii="Noto Sans" w:eastAsia="Calibri" w:hAnsi="Noto Sans" w:cs="Noto Sans"/>
          <w:lang w:val="en-US" w:eastAsia="en-GB"/>
        </w:rPr>
        <w:t xml:space="preserve"> period</w:t>
      </w:r>
      <w:r w:rsidR="00710E9C">
        <w:rPr>
          <w:rFonts w:ascii="Noto Sans" w:eastAsia="Calibri" w:hAnsi="Noto Sans" w:cs="Noto Sans"/>
          <w:lang w:val="en-US" w:eastAsia="en-GB"/>
        </w:rPr>
        <w:t>.</w:t>
      </w:r>
    </w:p>
    <w:p w14:paraId="58F42DC0" w14:textId="51E0259A" w:rsidR="00710E9C" w:rsidRDefault="00710E9C" w:rsidP="00284813">
      <w:pPr>
        <w:spacing w:after="160" w:line="259" w:lineRule="auto"/>
        <w:rPr>
          <w:rFonts w:ascii="Noto Sans" w:eastAsia="Calibri" w:hAnsi="Noto Sans" w:cs="Noto Sans"/>
          <w:lang w:val="en-US" w:eastAsia="en-GB"/>
        </w:rPr>
      </w:pPr>
      <w:r w:rsidRPr="00710E9C">
        <w:rPr>
          <w:rFonts w:ascii="Noto Sans" w:eastAsia="Calibri" w:hAnsi="Noto Sans" w:cs="Noto Sans"/>
          <w:lang w:val="en-US" w:eastAsia="en-GB"/>
        </w:rPr>
        <w:t>T</w:t>
      </w:r>
      <w:r w:rsidRPr="00284813">
        <w:rPr>
          <w:rFonts w:ascii="Noto Sans" w:eastAsia="Calibri" w:hAnsi="Noto Sans" w:cs="Noto Sans"/>
          <w:lang w:val="en-US" w:eastAsia="en-GB"/>
        </w:rPr>
        <w:t>he gold area represents the Major Repairs Reserve, which is self-generated by the HRA from its depreciation charges and is used to pay for Major Works. The blue area represent</w:t>
      </w:r>
      <w:r w:rsidR="002750FD">
        <w:rPr>
          <w:rFonts w:ascii="Noto Sans" w:eastAsia="Calibri" w:hAnsi="Noto Sans" w:cs="Noto Sans"/>
          <w:lang w:val="en-US" w:eastAsia="en-GB"/>
        </w:rPr>
        <w:t>s</w:t>
      </w:r>
      <w:r w:rsidRPr="00284813">
        <w:rPr>
          <w:rFonts w:ascii="Noto Sans" w:eastAsia="Calibri" w:hAnsi="Noto Sans" w:cs="Noto Sans"/>
          <w:lang w:val="en-US" w:eastAsia="en-GB"/>
        </w:rPr>
        <w:t xml:space="preserve"> other contributions made by the HRA, in line with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current medium term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The </w:t>
      </w:r>
      <w:r w:rsidR="00123EF2">
        <w:rPr>
          <w:rFonts w:ascii="Noto Sans" w:eastAsia="Calibri" w:hAnsi="Noto Sans" w:cs="Noto Sans"/>
          <w:lang w:val="en-US" w:eastAsia="en-GB"/>
        </w:rPr>
        <w:t>brown</w:t>
      </w:r>
      <w:r w:rsidRPr="00284813">
        <w:rPr>
          <w:rFonts w:ascii="Noto Sans" w:eastAsia="Calibri" w:hAnsi="Noto Sans" w:cs="Noto Sans"/>
          <w:lang w:val="en-US" w:eastAsia="en-GB"/>
        </w:rPr>
        <w:t xml:space="preserve"> area reflects the use of </w:t>
      </w:r>
      <w:r w:rsidRPr="00284813">
        <w:rPr>
          <w:rFonts w:ascii="Noto Sans" w:eastAsia="Calibri" w:hAnsi="Noto Sans" w:cs="Noto Sans"/>
          <w:lang w:val="en-US" w:eastAsia="en-GB"/>
        </w:rPr>
        <w:lastRenderedPageBreak/>
        <w:t xml:space="preserve">capital grant, which is used to part-finance some new homes. The </w:t>
      </w:r>
      <w:r w:rsidR="00123EF2">
        <w:rPr>
          <w:rFonts w:ascii="Noto Sans" w:eastAsia="Calibri" w:hAnsi="Noto Sans" w:cs="Noto Sans"/>
          <w:lang w:val="en-US" w:eastAsia="en-GB"/>
        </w:rPr>
        <w:t>yellow</w:t>
      </w:r>
      <w:r w:rsidRPr="00284813">
        <w:rPr>
          <w:rFonts w:ascii="Noto Sans" w:eastAsia="Calibri" w:hAnsi="Noto Sans" w:cs="Noto Sans"/>
          <w:lang w:val="en-US" w:eastAsia="en-GB"/>
        </w:rPr>
        <w:t xml:space="preserve"> area shows the use of retained RTB receipts to part pay for other new homes, which do not receive grant funding. The </w:t>
      </w:r>
      <w:r w:rsidR="00123EF2">
        <w:rPr>
          <w:rFonts w:ascii="Noto Sans" w:eastAsia="Calibri" w:hAnsi="Noto Sans" w:cs="Noto Sans"/>
          <w:lang w:val="en-US" w:eastAsia="en-GB"/>
        </w:rPr>
        <w:t>purple</w:t>
      </w:r>
      <w:r w:rsidRPr="00284813">
        <w:rPr>
          <w:rFonts w:ascii="Noto Sans" w:eastAsia="Calibri" w:hAnsi="Noto Sans" w:cs="Noto Sans"/>
          <w:lang w:val="en-US" w:eastAsia="en-GB"/>
        </w:rPr>
        <w:t xml:space="preserve"> area shows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planned use of other capital receipts. </w:t>
      </w:r>
    </w:p>
    <w:p w14:paraId="35C8B7A5" w14:textId="561114FE" w:rsidR="00710E9C" w:rsidRPr="00284813" w:rsidRDefault="00710E9C"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w:t>
      </w:r>
      <w:r w:rsidR="00123EF2">
        <w:rPr>
          <w:rFonts w:ascii="Noto Sans" w:eastAsia="Calibri" w:hAnsi="Noto Sans" w:cs="Noto Sans"/>
          <w:lang w:val="en-US" w:eastAsia="en-GB"/>
        </w:rPr>
        <w:t>pink</w:t>
      </w:r>
      <w:r w:rsidRPr="00284813">
        <w:rPr>
          <w:rFonts w:ascii="Noto Sans" w:eastAsia="Calibri" w:hAnsi="Noto Sans" w:cs="Noto Sans"/>
          <w:lang w:val="en-US" w:eastAsia="en-GB"/>
        </w:rPr>
        <w:t xml:space="preserve"> area shows the use of borrowing to finance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HRA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Borrowing is the most expensive of the financing methods shown and represents the gap that remains, after allowing for the use of all other available resources.</w:t>
      </w:r>
    </w:p>
    <w:p w14:paraId="763699D2" w14:textId="6E43E7A0"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drawing>
          <wp:inline distT="0" distB="0" distL="0" distR="0" wp14:anchorId="346F7FC1" wp14:editId="44E59B60">
            <wp:extent cx="5727700" cy="3515995"/>
            <wp:effectExtent l="0" t="0" r="6350" b="8255"/>
            <wp:docPr id="17408463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515995"/>
                    </a:xfrm>
                    <a:prstGeom prst="rect">
                      <a:avLst/>
                    </a:prstGeom>
                    <a:noFill/>
                    <a:ln>
                      <a:noFill/>
                    </a:ln>
                  </pic:spPr>
                </pic:pic>
              </a:graphicData>
            </a:graphic>
          </wp:inline>
        </w:drawing>
      </w:r>
    </w:p>
    <w:p w14:paraId="452A3244" w14:textId="21385E74"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Baseline capital financing projections show that </w:t>
      </w:r>
      <w:r w:rsidR="002750FD">
        <w:rPr>
          <w:rFonts w:ascii="Noto Sans" w:eastAsia="Calibri" w:hAnsi="Noto Sans" w:cs="Noto Sans"/>
          <w:lang w:val="en-US" w:eastAsia="en-GB"/>
        </w:rPr>
        <w:t>we</w:t>
      </w:r>
      <w:r w:rsidRPr="00284813">
        <w:rPr>
          <w:rFonts w:ascii="Noto Sans" w:eastAsia="Calibri" w:hAnsi="Noto Sans" w:cs="Noto Sans"/>
          <w:lang w:val="en-US" w:eastAsia="en-GB"/>
        </w:rPr>
        <w:t xml:space="preserve"> need to borrow extensively to deliver </w:t>
      </w:r>
      <w:r w:rsidR="002750FD">
        <w:rPr>
          <w:rFonts w:ascii="Noto Sans" w:eastAsia="Calibri" w:hAnsi="Noto Sans" w:cs="Noto Sans"/>
          <w:lang w:val="en-US" w:eastAsia="en-GB"/>
        </w:rPr>
        <w:t>our</w:t>
      </w:r>
      <w:r w:rsidRPr="00284813">
        <w:rPr>
          <w:rFonts w:ascii="Noto Sans" w:eastAsia="Calibri" w:hAnsi="Noto Sans" w:cs="Noto Sans"/>
          <w:lang w:val="en-US" w:eastAsia="en-GB"/>
        </w:rPr>
        <w:t xml:space="preserve"> medium</w:t>
      </w:r>
      <w:r w:rsidR="002750FD">
        <w:rPr>
          <w:rFonts w:ascii="Noto Sans" w:eastAsia="Calibri" w:hAnsi="Noto Sans" w:cs="Noto Sans"/>
          <w:lang w:val="en-US" w:eastAsia="en-GB"/>
        </w:rPr>
        <w:t>-</w:t>
      </w:r>
      <w:r w:rsidRPr="00284813">
        <w:rPr>
          <w:rFonts w:ascii="Noto Sans" w:eastAsia="Calibri" w:hAnsi="Noto Sans" w:cs="Noto Sans"/>
          <w:lang w:val="en-US" w:eastAsia="en-GB"/>
        </w:rPr>
        <w:t xml:space="preserve">term development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w:t>
      </w:r>
      <w:r w:rsidR="002750FD">
        <w:rPr>
          <w:rFonts w:ascii="Noto Sans" w:eastAsia="Calibri" w:hAnsi="Noto Sans" w:cs="Noto Sans"/>
          <w:lang w:val="en-US" w:eastAsia="en-GB"/>
        </w:rPr>
        <w:t>We</w:t>
      </w:r>
      <w:r w:rsidRPr="00284813">
        <w:rPr>
          <w:rFonts w:ascii="Noto Sans" w:eastAsia="Calibri" w:hAnsi="Noto Sans" w:cs="Noto Sans"/>
          <w:lang w:val="en-US" w:eastAsia="en-GB"/>
        </w:rPr>
        <w:t xml:space="preserve"> also need to borrow again to finance ongoing investment in </w:t>
      </w:r>
      <w:r w:rsidR="00E576AE">
        <w:rPr>
          <w:rFonts w:ascii="Noto Sans" w:eastAsia="Calibri" w:hAnsi="Noto Sans" w:cs="Noto Sans"/>
          <w:lang w:val="en-US" w:eastAsia="en-GB"/>
        </w:rPr>
        <w:t>our</w:t>
      </w:r>
      <w:r w:rsidRPr="00284813">
        <w:rPr>
          <w:rFonts w:ascii="Noto Sans" w:eastAsia="Calibri" w:hAnsi="Noto Sans" w:cs="Noto Sans"/>
          <w:lang w:val="en-US" w:eastAsia="en-GB"/>
        </w:rPr>
        <w:t xml:space="preserve"> existing homes mid-plan and towards the end of the projections.</w:t>
      </w:r>
    </w:p>
    <w:p w14:paraId="7ED72374"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Affordability of Baseline borrowing levels</w:t>
      </w:r>
    </w:p>
    <w:p w14:paraId="1E7827A8"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Baseline debt levels</w:t>
      </w:r>
    </w:p>
    <w:p w14:paraId="02961E18" w14:textId="4D629F7A" w:rsidR="00284813" w:rsidRPr="00284813" w:rsidRDefault="00284813" w:rsidP="00284813">
      <w:pPr>
        <w:spacing w:after="160" w:line="259" w:lineRule="auto"/>
        <w:rPr>
          <w:rFonts w:ascii="Noto Sans" w:eastAsia="Calibri" w:hAnsi="Noto Sans" w:cs="Noto Sans"/>
          <w:lang w:val="en-US" w:eastAsia="en-GB"/>
        </w:rPr>
      </w:pPr>
      <w:r w:rsidRPr="00284813">
        <w:rPr>
          <w:rFonts w:ascii="Noto Sans" w:eastAsia="Calibri" w:hAnsi="Noto Sans" w:cs="Noto Sans"/>
          <w:lang w:val="en-US" w:eastAsia="en-GB"/>
        </w:rPr>
        <w:t xml:space="preserve">The HRA projections allow for </w:t>
      </w:r>
      <w:r w:rsidR="00E576AE">
        <w:rPr>
          <w:rFonts w:ascii="Noto Sans" w:eastAsia="Calibri" w:hAnsi="Noto Sans" w:cs="Noto Sans"/>
          <w:lang w:val="en-US" w:eastAsia="en-GB"/>
        </w:rPr>
        <w:t>us</w:t>
      </w:r>
      <w:r w:rsidRPr="00284813">
        <w:rPr>
          <w:rFonts w:ascii="Noto Sans" w:eastAsia="Calibri" w:hAnsi="Noto Sans" w:cs="Noto Sans"/>
          <w:lang w:val="en-US" w:eastAsia="en-GB"/>
        </w:rPr>
        <w:t xml:space="preserve"> to borrow to finance </w:t>
      </w:r>
      <w:r w:rsidR="00E576AE">
        <w:rPr>
          <w:rFonts w:ascii="Noto Sans" w:eastAsia="Calibri" w:hAnsi="Noto Sans" w:cs="Noto Sans"/>
          <w:lang w:val="en-US" w:eastAsia="en-GB"/>
        </w:rPr>
        <w:t>our</w:t>
      </w:r>
      <w:r w:rsidRPr="00284813">
        <w:rPr>
          <w:rFonts w:ascii="Noto Sans" w:eastAsia="Calibri" w:hAnsi="Noto Sans" w:cs="Noto Sans"/>
          <w:lang w:val="en-US" w:eastAsia="en-GB"/>
        </w:rPr>
        <w:t xml:space="preserve"> HRA capital </w:t>
      </w:r>
      <w:proofErr w:type="spellStart"/>
      <w:r w:rsidRPr="00284813">
        <w:rPr>
          <w:rFonts w:ascii="Noto Sans" w:eastAsia="Calibri" w:hAnsi="Noto Sans" w:cs="Noto Sans"/>
          <w:lang w:val="en-US" w:eastAsia="en-GB"/>
        </w:rPr>
        <w:t>programme</w:t>
      </w:r>
      <w:proofErr w:type="spellEnd"/>
      <w:r w:rsidRPr="00284813">
        <w:rPr>
          <w:rFonts w:ascii="Noto Sans" w:eastAsia="Calibri" w:hAnsi="Noto Sans" w:cs="Noto Sans"/>
          <w:lang w:val="en-US" w:eastAsia="en-GB"/>
        </w:rPr>
        <w:t xml:space="preserve"> and to repay debt when </w:t>
      </w:r>
      <w:r w:rsidR="00E576AE">
        <w:rPr>
          <w:rFonts w:ascii="Noto Sans" w:eastAsia="Calibri" w:hAnsi="Noto Sans" w:cs="Noto Sans"/>
          <w:lang w:val="en-US" w:eastAsia="en-GB"/>
        </w:rPr>
        <w:t>we</w:t>
      </w:r>
      <w:r w:rsidRPr="00284813">
        <w:rPr>
          <w:rFonts w:ascii="Noto Sans" w:eastAsia="Calibri" w:hAnsi="Noto Sans" w:cs="Noto Sans"/>
          <w:lang w:val="en-US" w:eastAsia="en-GB"/>
        </w:rPr>
        <w:t xml:space="preserve"> can afford to do so. This results in the following debt position:</w:t>
      </w:r>
    </w:p>
    <w:p w14:paraId="540D2BD3" w14:textId="0A8C4CDA"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lastRenderedPageBreak/>
        <w:drawing>
          <wp:inline distT="0" distB="0" distL="0" distR="0" wp14:anchorId="1457C098" wp14:editId="3274FFE4">
            <wp:extent cx="5727700" cy="3422015"/>
            <wp:effectExtent l="0" t="0" r="6350" b="6985"/>
            <wp:docPr id="20553244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3422015"/>
                    </a:xfrm>
                    <a:prstGeom prst="rect">
                      <a:avLst/>
                    </a:prstGeom>
                    <a:noFill/>
                    <a:ln>
                      <a:noFill/>
                    </a:ln>
                  </pic:spPr>
                </pic:pic>
              </a:graphicData>
            </a:graphic>
          </wp:inline>
        </w:drawing>
      </w:r>
    </w:p>
    <w:p w14:paraId="185724D5" w14:textId="014BEE31" w:rsidR="00284813" w:rsidRPr="00284813" w:rsidRDefault="00E576AE" w:rsidP="00284813">
      <w:pPr>
        <w:spacing w:after="160" w:line="259" w:lineRule="auto"/>
        <w:rPr>
          <w:rFonts w:ascii="Noto Sans" w:eastAsia="Aptos" w:hAnsi="Noto Sans" w:cs="Noto Sans"/>
          <w:kern w:val="2"/>
          <w14:ligatures w14:val="standardContextual"/>
        </w:rPr>
      </w:pPr>
      <w:r w:rsidRPr="00E576AE">
        <w:rPr>
          <w:rFonts w:ascii="Noto Sans" w:eastAsia="Aptos" w:hAnsi="Noto Sans" w:cs="Noto Sans"/>
          <w:kern w:val="2"/>
          <w14:ligatures w14:val="standardContextual"/>
        </w:rPr>
        <w:t>T</w:t>
      </w:r>
      <w:r w:rsidR="00284813" w:rsidRPr="00284813">
        <w:rPr>
          <w:rFonts w:ascii="Noto Sans" w:eastAsia="Aptos" w:hAnsi="Noto Sans" w:cs="Noto Sans"/>
          <w:kern w:val="2"/>
          <w14:ligatures w14:val="standardContextual"/>
        </w:rPr>
        <w:t xml:space="preserve">he line shows the HRA capital financing requirement (CFR), which is the principal measure of HRA debt. The level of debt increases over the medium term as </w:t>
      </w:r>
      <w:r>
        <w:rPr>
          <w:rFonts w:ascii="Noto Sans" w:eastAsia="Aptos" w:hAnsi="Noto Sans" w:cs="Noto Sans"/>
          <w:kern w:val="2"/>
          <w14:ligatures w14:val="standardContextual"/>
        </w:rPr>
        <w:t xml:space="preserve">we </w:t>
      </w:r>
      <w:r w:rsidR="00284813" w:rsidRPr="00284813">
        <w:rPr>
          <w:rFonts w:ascii="Noto Sans" w:eastAsia="Aptos" w:hAnsi="Noto Sans" w:cs="Noto Sans"/>
          <w:kern w:val="2"/>
          <w14:ligatures w14:val="standardContextual"/>
        </w:rPr>
        <w:t xml:space="preserve">borrow to finance </w:t>
      </w:r>
      <w:r>
        <w:rPr>
          <w:rFonts w:ascii="Noto Sans" w:eastAsia="Aptos" w:hAnsi="Noto Sans" w:cs="Noto Sans"/>
          <w:kern w:val="2"/>
          <w14:ligatures w14:val="standardContextual"/>
        </w:rPr>
        <w:t>our</w:t>
      </w:r>
      <w:r w:rsidR="00284813" w:rsidRPr="00284813">
        <w:rPr>
          <w:rFonts w:ascii="Noto Sans" w:eastAsia="Aptos" w:hAnsi="Noto Sans" w:cs="Noto Sans"/>
          <w:kern w:val="2"/>
          <w14:ligatures w14:val="standardContextual"/>
        </w:rPr>
        <w:t xml:space="preserve"> medium</w:t>
      </w:r>
      <w:r>
        <w:rPr>
          <w:rFonts w:ascii="Noto Sans" w:eastAsia="Aptos" w:hAnsi="Noto Sans" w:cs="Noto Sans"/>
          <w:kern w:val="2"/>
          <w14:ligatures w14:val="standardContextual"/>
        </w:rPr>
        <w:t>-</w:t>
      </w:r>
      <w:r w:rsidR="00284813" w:rsidRPr="00284813">
        <w:rPr>
          <w:rFonts w:ascii="Noto Sans" w:eastAsia="Aptos" w:hAnsi="Noto Sans" w:cs="Noto Sans"/>
          <w:kern w:val="2"/>
          <w14:ligatures w14:val="standardContextual"/>
        </w:rPr>
        <w:t xml:space="preserve">term development programme. Debt levels then stabilise until mid-plan, at which point the HRA </w:t>
      </w:r>
      <w:r w:rsidRPr="00284813">
        <w:rPr>
          <w:rFonts w:ascii="Noto Sans" w:eastAsia="Aptos" w:hAnsi="Noto Sans" w:cs="Noto Sans"/>
          <w:kern w:val="2"/>
          <w14:ligatures w14:val="standardContextual"/>
        </w:rPr>
        <w:t>can</w:t>
      </w:r>
      <w:r w:rsidR="00284813" w:rsidRPr="00284813">
        <w:rPr>
          <w:rFonts w:ascii="Noto Sans" w:eastAsia="Aptos" w:hAnsi="Noto Sans" w:cs="Noto Sans"/>
          <w:kern w:val="2"/>
          <w14:ligatures w14:val="standardContextual"/>
        </w:rPr>
        <w:t xml:space="preserve"> start repaying debt. However, debt starts to rise again for the last 10 years of the projections </w:t>
      </w:r>
      <w:r w:rsidRPr="00284813">
        <w:rPr>
          <w:rFonts w:ascii="Noto Sans" w:eastAsia="Aptos" w:hAnsi="Noto Sans" w:cs="Noto Sans"/>
          <w:kern w:val="2"/>
          <w14:ligatures w14:val="standardContextual"/>
        </w:rPr>
        <w:t>to</w:t>
      </w:r>
      <w:r w:rsidR="00284813" w:rsidRPr="00284813">
        <w:rPr>
          <w:rFonts w:ascii="Noto Sans" w:eastAsia="Aptos" w:hAnsi="Noto Sans" w:cs="Noto Sans"/>
          <w:kern w:val="2"/>
          <w14:ligatures w14:val="standardContextual"/>
        </w:rPr>
        <w:t xml:space="preserve"> finance a substantial expected increase in stock investment costs.</w:t>
      </w:r>
    </w:p>
    <w:p w14:paraId="622CCE6D" w14:textId="49C3C35F"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During the period, HRA-related debt rises substantially to a peak of </w:t>
      </w:r>
      <w:r w:rsidR="009C0074">
        <w:rPr>
          <w:rFonts w:ascii="Noto Sans" w:eastAsia="Aptos" w:hAnsi="Noto Sans" w:cs="Noto Sans"/>
          <w:kern w:val="2"/>
          <w14:ligatures w14:val="standardContextual"/>
        </w:rPr>
        <w:t>over</w:t>
      </w:r>
      <w:r w:rsidRPr="00284813">
        <w:rPr>
          <w:rFonts w:ascii="Noto Sans" w:eastAsia="Aptos" w:hAnsi="Noto Sans" w:cs="Noto Sans"/>
          <w:kern w:val="2"/>
          <w14:ligatures w14:val="standardContextual"/>
        </w:rPr>
        <w:t xml:space="preserve"> £</w:t>
      </w:r>
      <w:r w:rsidR="009C0074" w:rsidRPr="00284813">
        <w:rPr>
          <w:rFonts w:ascii="Noto Sans" w:eastAsia="Aptos" w:hAnsi="Noto Sans" w:cs="Noto Sans"/>
          <w:kern w:val="2"/>
          <w14:ligatures w14:val="standardContextual"/>
        </w:rPr>
        <w:t>6</w:t>
      </w:r>
      <w:r w:rsidR="009C0074">
        <w:rPr>
          <w:rFonts w:ascii="Noto Sans" w:eastAsia="Aptos" w:hAnsi="Noto Sans" w:cs="Noto Sans"/>
          <w:kern w:val="2"/>
          <w14:ligatures w14:val="standardContextual"/>
        </w:rPr>
        <w:t>99</w:t>
      </w:r>
      <w:r w:rsidR="009C0074" w:rsidRPr="00284813">
        <w:rPr>
          <w:rFonts w:ascii="Noto Sans" w:eastAsia="Aptos" w:hAnsi="Noto Sans" w:cs="Noto Sans"/>
          <w:kern w:val="2"/>
          <w14:ligatures w14:val="standardContextual"/>
        </w:rPr>
        <w:t xml:space="preserve">m </w:t>
      </w:r>
      <w:r w:rsidRPr="00284813">
        <w:rPr>
          <w:rFonts w:ascii="Noto Sans" w:eastAsia="Aptos" w:hAnsi="Noto Sans" w:cs="Noto Sans"/>
          <w:kern w:val="2"/>
          <w14:ligatures w14:val="standardContextual"/>
        </w:rPr>
        <w:t>in 2042/43</w:t>
      </w:r>
      <w:r w:rsidR="00B903EB">
        <w:rPr>
          <w:rFonts w:ascii="Noto Sans" w:eastAsia="Aptos" w:hAnsi="Noto Sans" w:cs="Noto Sans"/>
          <w:kern w:val="2"/>
          <w14:ligatures w14:val="standardContextual"/>
        </w:rPr>
        <w:t xml:space="preserve"> before reducing slightly</w:t>
      </w:r>
      <w:r w:rsidRPr="00284813">
        <w:rPr>
          <w:rFonts w:ascii="Noto Sans" w:eastAsia="Aptos" w:hAnsi="Noto Sans" w:cs="Noto Sans"/>
          <w:kern w:val="2"/>
          <w14:ligatures w14:val="standardContextual"/>
        </w:rPr>
        <w:t xml:space="preserve">. Importantly, debt </w:t>
      </w:r>
      <w:r w:rsidR="00B903EB">
        <w:rPr>
          <w:rFonts w:ascii="Noto Sans" w:eastAsia="Aptos" w:hAnsi="Noto Sans" w:cs="Noto Sans"/>
          <w:kern w:val="2"/>
          <w14:ligatures w14:val="standardContextual"/>
        </w:rPr>
        <w:t>starts</w:t>
      </w:r>
      <w:r w:rsidRPr="00284813">
        <w:rPr>
          <w:rFonts w:ascii="Noto Sans" w:eastAsia="Aptos" w:hAnsi="Noto Sans" w:cs="Noto Sans"/>
          <w:kern w:val="2"/>
          <w14:ligatures w14:val="standardContextual"/>
        </w:rPr>
        <w:t xml:space="preserve"> rising </w:t>
      </w:r>
      <w:r w:rsidR="00B903EB">
        <w:rPr>
          <w:rFonts w:ascii="Noto Sans" w:eastAsia="Aptos" w:hAnsi="Noto Sans" w:cs="Noto Sans"/>
          <w:kern w:val="2"/>
          <w14:ligatures w14:val="standardContextual"/>
        </w:rPr>
        <w:t>again in the last few</w:t>
      </w:r>
      <w:r w:rsidRPr="00284813">
        <w:rPr>
          <w:rFonts w:ascii="Noto Sans" w:eastAsia="Aptos" w:hAnsi="Noto Sans" w:cs="Noto Sans"/>
          <w:kern w:val="2"/>
          <w14:ligatures w14:val="standardContextual"/>
        </w:rPr>
        <w:t xml:space="preserve"> years and closes at £</w:t>
      </w:r>
      <w:r w:rsidR="009C0074" w:rsidRPr="00284813">
        <w:rPr>
          <w:rFonts w:ascii="Noto Sans" w:eastAsia="Aptos" w:hAnsi="Noto Sans" w:cs="Noto Sans"/>
          <w:kern w:val="2"/>
          <w14:ligatures w14:val="standardContextual"/>
        </w:rPr>
        <w:t>6</w:t>
      </w:r>
      <w:r w:rsidR="00B903EB">
        <w:rPr>
          <w:rFonts w:ascii="Noto Sans" w:eastAsia="Aptos" w:hAnsi="Noto Sans" w:cs="Noto Sans"/>
          <w:kern w:val="2"/>
          <w14:ligatures w14:val="standardContextual"/>
        </w:rPr>
        <w:t>71</w:t>
      </w:r>
      <w:r w:rsidR="009C0074" w:rsidRPr="00284813">
        <w:rPr>
          <w:rFonts w:ascii="Noto Sans" w:eastAsia="Aptos" w:hAnsi="Noto Sans" w:cs="Noto Sans"/>
          <w:kern w:val="2"/>
          <w14:ligatures w14:val="standardContextual"/>
        </w:rPr>
        <w:t>m</w:t>
      </w:r>
      <w:r w:rsidRPr="00284813">
        <w:rPr>
          <w:rFonts w:ascii="Noto Sans" w:eastAsia="Aptos" w:hAnsi="Noto Sans" w:cs="Noto Sans"/>
          <w:kern w:val="2"/>
          <w14:ligatures w14:val="standardContextual"/>
        </w:rPr>
        <w:t xml:space="preserve">. </w:t>
      </w:r>
    </w:p>
    <w:p w14:paraId="6BF81DA3" w14:textId="5F92457E"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A higher level of borrowing means the HRA needs to incur substantially higher interest charges than in recent years. The continuing high and increasing level of debt at the end of the period also exposes </w:t>
      </w:r>
      <w:r w:rsidR="00961094">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potential interest rate risk.</w:t>
      </w:r>
    </w:p>
    <w:p w14:paraId="2895E197" w14:textId="74BF8733"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 xml:space="preserve">Baseline </w:t>
      </w:r>
      <w:r w:rsidR="009C0074">
        <w:rPr>
          <w:rFonts w:ascii="Noto Sans" w:eastAsia="Times New Roman" w:hAnsi="Noto Sans" w:cs="Noto Sans"/>
          <w:b/>
          <w:bCs/>
          <w:color w:val="BD8F00" w:themeColor="accent4"/>
          <w:kern w:val="2"/>
          <w14:ligatures w14:val="standardContextual"/>
        </w:rPr>
        <w:t xml:space="preserve">affordability </w:t>
      </w:r>
      <w:r w:rsidRPr="00284813">
        <w:rPr>
          <w:rFonts w:ascii="Noto Sans" w:eastAsia="Times New Roman" w:hAnsi="Noto Sans" w:cs="Noto Sans"/>
          <w:b/>
          <w:bCs/>
          <w:color w:val="BD8F00" w:themeColor="accent4"/>
          <w:kern w:val="2"/>
          <w14:ligatures w14:val="standardContextual"/>
        </w:rPr>
        <w:t>levels</w:t>
      </w:r>
    </w:p>
    <w:p w14:paraId="18FC1C93"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Alongside the HRA debt levels above, the following chart provides an indication of the affordability of the projected borrowings:</w:t>
      </w:r>
    </w:p>
    <w:p w14:paraId="1AE0E828" w14:textId="72B2A264" w:rsidR="00284813" w:rsidRPr="00284813" w:rsidRDefault="00B903EB" w:rsidP="00284813">
      <w:pPr>
        <w:spacing w:after="160" w:line="259" w:lineRule="auto"/>
        <w:rPr>
          <w:rFonts w:ascii="Noto Sans" w:eastAsia="Aptos" w:hAnsi="Noto Sans" w:cs="Noto Sans"/>
          <w:kern w:val="2"/>
          <w:sz w:val="22"/>
          <w:szCs w:val="22"/>
          <w14:ligatures w14:val="standardContextual"/>
        </w:rPr>
      </w:pPr>
      <w:r w:rsidRPr="00B903EB">
        <w:rPr>
          <w:noProof/>
        </w:rPr>
        <w:lastRenderedPageBreak/>
        <w:drawing>
          <wp:inline distT="0" distB="0" distL="0" distR="0" wp14:anchorId="1A375CB6" wp14:editId="0FD56755">
            <wp:extent cx="5727700" cy="3526790"/>
            <wp:effectExtent l="0" t="0" r="6350" b="0"/>
            <wp:docPr id="9905324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3526790"/>
                    </a:xfrm>
                    <a:prstGeom prst="rect">
                      <a:avLst/>
                    </a:prstGeom>
                    <a:noFill/>
                    <a:ln>
                      <a:noFill/>
                    </a:ln>
                  </pic:spPr>
                </pic:pic>
              </a:graphicData>
            </a:graphic>
          </wp:inline>
        </w:drawing>
      </w:r>
    </w:p>
    <w:p w14:paraId="4136F536" w14:textId="3096A29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w:t>
      </w:r>
      <w:r w:rsidR="00BA4AD1">
        <w:rPr>
          <w:rFonts w:ascii="Noto Sans" w:eastAsia="Aptos" w:hAnsi="Noto Sans" w:cs="Noto Sans"/>
          <w:kern w:val="2"/>
          <w14:ligatures w14:val="standardContextual"/>
        </w:rPr>
        <w:t>e</w:t>
      </w:r>
      <w:r w:rsidRPr="00284813">
        <w:rPr>
          <w:rFonts w:ascii="Noto Sans" w:eastAsia="Aptos" w:hAnsi="Noto Sans" w:cs="Noto Sans"/>
          <w:kern w:val="2"/>
          <w14:ligatures w14:val="standardContextual"/>
        </w:rPr>
        <w:t xml:space="preserve"> chart uses interest cover performance to measure affordability of the Baseline projections. Interest cover measures the ability of the HRA surplus each year to meet the interest charges on the required HRA debt and is shown by the green line. The dashed pink line show</w:t>
      </w:r>
      <w:r w:rsidR="00BA4AD1">
        <w:rPr>
          <w:rFonts w:ascii="Noto Sans" w:eastAsia="Aptos" w:hAnsi="Noto Sans" w:cs="Noto Sans"/>
          <w:kern w:val="2"/>
          <w14:ligatures w14:val="standardContextual"/>
        </w:rPr>
        <w:t>s</w:t>
      </w:r>
      <w:r w:rsidRPr="00284813">
        <w:rPr>
          <w:rFonts w:ascii="Noto Sans" w:eastAsia="Aptos" w:hAnsi="Noto Sans" w:cs="Noto Sans"/>
          <w:kern w:val="2"/>
          <w14:ligatures w14:val="standardContextual"/>
        </w:rPr>
        <w:t xml:space="preserve"> a minimum performance guideline, which is set at 125%. When performance is at the level of the pink line the HRA surplus is enough to cover the full interest charge, with an extra 25% in hand. Accordingly, the minimum level provides some flexibility for </w:t>
      </w:r>
      <w:r w:rsidR="00BA4AD1">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respond to emerging pressures or undertake further investment.</w:t>
      </w:r>
    </w:p>
    <w:p w14:paraId="7469F8AC" w14:textId="7EFF586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Baseline interest cover performance for the HRA is above the minimum, except for three years (2028/29 and 2030/31), when it dips below. This coincides with the end of the </w:t>
      </w:r>
      <w:r w:rsidR="00C875D6">
        <w:rPr>
          <w:rFonts w:ascii="Noto Sans" w:eastAsia="Aptos" w:hAnsi="Noto Sans" w:cs="Noto Sans"/>
          <w:kern w:val="2"/>
          <w14:ligatures w14:val="standardContextual"/>
        </w:rPr>
        <w:t xml:space="preserve">current </w:t>
      </w:r>
      <w:r w:rsidRPr="00284813">
        <w:rPr>
          <w:rFonts w:ascii="Noto Sans" w:eastAsia="Aptos" w:hAnsi="Noto Sans" w:cs="Noto Sans"/>
          <w:kern w:val="2"/>
          <w14:ligatures w14:val="standardContextual"/>
        </w:rPr>
        <w:t>development programme and indicates that the HRA exceeds its maximum affordable debt level during that period. From 2031/32 onwards performance improves, showing that the position then becomes more affordable over time.</w:t>
      </w:r>
    </w:p>
    <w:p w14:paraId="2075D972"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Baseline position – key messages</w:t>
      </w:r>
    </w:p>
    <w:p w14:paraId="6423A0BC" w14:textId="382E7D63"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Baseline HRA projections include </w:t>
      </w:r>
      <w:r w:rsidR="00C875D6">
        <w:rPr>
          <w:rFonts w:ascii="Noto Sans" w:eastAsia="Aptos" w:hAnsi="Noto Sans" w:cs="Noto Sans"/>
          <w:kern w:val="2"/>
          <w14:ligatures w14:val="standardContextual"/>
        </w:rPr>
        <w:t>for our</w:t>
      </w:r>
      <w:r w:rsidRPr="00284813">
        <w:rPr>
          <w:rFonts w:ascii="Noto Sans" w:eastAsia="Aptos" w:hAnsi="Noto Sans" w:cs="Noto Sans"/>
          <w:kern w:val="2"/>
          <w14:ligatures w14:val="standardContextual"/>
        </w:rPr>
        <w:t xml:space="preserve"> ambitious development programme, which delivers 1,</w:t>
      </w:r>
      <w:r w:rsidR="00B903EB">
        <w:rPr>
          <w:rFonts w:ascii="Noto Sans" w:eastAsia="Aptos" w:hAnsi="Noto Sans" w:cs="Noto Sans"/>
          <w:kern w:val="2"/>
          <w14:ligatures w14:val="standardContextual"/>
        </w:rPr>
        <w:t>373</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new homes. It also allows for representative levels of ongoing investment in existing dwellings. However, these plans require much higher levels of borrowing and the HRA starts to struggle to afford this debt between 2028/29 and 2030/31.</w:t>
      </w:r>
    </w:p>
    <w:p w14:paraId="45DA4096"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lastRenderedPageBreak/>
        <w:t>The charts show that the HRA has insufficient flexibility to respond to further regulatory and other emerging pressures, plus new initiatives over the medium term. It is also important to note that the Baseline does not allow for the prospect of substantial additional decarbonisation works after 2027/28.</w:t>
      </w:r>
    </w:p>
    <w:p w14:paraId="60EC90BC" w14:textId="480BC421"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position of the HRA is therefore borderline affordable and would deteriorate if further investment requirements and pressures are included. </w:t>
      </w:r>
      <w:r w:rsidR="006F17B6">
        <w:rPr>
          <w:rFonts w:ascii="Noto Sans" w:eastAsia="Aptos" w:hAnsi="Noto Sans" w:cs="Noto Sans"/>
          <w:kern w:val="2"/>
          <w14:ligatures w14:val="standardContextual"/>
        </w:rPr>
        <w:t>We therefore need</w:t>
      </w:r>
      <w:r w:rsidRPr="00284813">
        <w:rPr>
          <w:rFonts w:ascii="Noto Sans" w:eastAsia="Aptos" w:hAnsi="Noto Sans" w:cs="Noto Sans"/>
          <w:kern w:val="2"/>
          <w14:ligatures w14:val="standardContextual"/>
        </w:rPr>
        <w:t xml:space="preserve"> to take action to improve the underlying financial health of </w:t>
      </w:r>
      <w:r w:rsidR="006F17B6">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HRA.</w:t>
      </w:r>
    </w:p>
    <w:p w14:paraId="6E7958C2"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Sensitivity analysis</w:t>
      </w:r>
    </w:p>
    <w:p w14:paraId="404EE9DC"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Analysis of the HRA projections shows they are very sensitive to changes in key modelling assumptions. For example:</w:t>
      </w:r>
    </w:p>
    <w:p w14:paraId="2E6E7F9B"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Increases in the underlying rate of general inflation are positive, as income from rents rises by more than costs. On the other hand, lower rates of general inflation have a negative impact.</w:t>
      </w:r>
    </w:p>
    <w:p w14:paraId="60221940"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Increases in building costs that are not accompanied by an equivalent rise in underlying inflation (and, particularly, rents) have a substantial detrimental impact.</w:t>
      </w:r>
    </w:p>
    <w:p w14:paraId="172F9215" w14:textId="77777777" w:rsidR="00284813" w:rsidRPr="00284813" w:rsidRDefault="00284813" w:rsidP="00D33A64">
      <w:pPr>
        <w:numPr>
          <w:ilvl w:val="0"/>
          <w:numId w:val="23"/>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Small variations in the interest rates payable on future loans have a substantial impact on the affordability of HRA-related debt. Higher interest rates reduce affordability and vice versa.</w:t>
      </w:r>
    </w:p>
    <w:p w14:paraId="1703DD57" w14:textId="65BF9C16" w:rsidR="00284813" w:rsidRPr="00284813" w:rsidRDefault="00284813" w:rsidP="00D33A64">
      <w:pPr>
        <w:numPr>
          <w:ilvl w:val="0"/>
          <w:numId w:val="23"/>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w:t>
      </w:r>
      <w:r w:rsidR="0084084A">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 xml:space="preserve">y decision by the </w:t>
      </w:r>
      <w:r w:rsidR="0084084A">
        <w:rPr>
          <w:rFonts w:ascii="Noto Sans" w:eastAsia="Aptos" w:hAnsi="Noto Sans" w:cs="Noto Sans"/>
          <w:kern w:val="2"/>
          <w14:ligatures w14:val="standardContextual"/>
        </w:rPr>
        <w:t xml:space="preserve">Council </w:t>
      </w:r>
      <w:r w:rsidRPr="00284813">
        <w:rPr>
          <w:rFonts w:ascii="Noto Sans" w:eastAsia="Aptos" w:hAnsi="Noto Sans" w:cs="Noto Sans"/>
          <w:kern w:val="2"/>
          <w14:ligatures w14:val="standardContextual"/>
        </w:rPr>
        <w:t xml:space="preserve">to raise rents by less than the maximum amount permitted by </w:t>
      </w:r>
      <w:r w:rsidR="0084084A">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 has a significant adverse impact.</w:t>
      </w:r>
    </w:p>
    <w:p w14:paraId="0A4EFE71" w14:textId="2388799F"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It is</w:t>
      </w:r>
      <w:r w:rsidR="0084084A">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 xml:space="preserve">important that </w:t>
      </w:r>
      <w:r w:rsidR="0084084A">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keep track of these factors and continue to inform </w:t>
      </w:r>
      <w:r w:rsidR="0084084A">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decisions with information on the impact of key sensitivities and alternative scenarios.</w:t>
      </w:r>
    </w:p>
    <w:p w14:paraId="1383F27F"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Options for improving the position</w:t>
      </w:r>
    </w:p>
    <w:p w14:paraId="47FAA384" w14:textId="341A02B6"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There </w:t>
      </w:r>
      <w:r w:rsidR="0084084A" w:rsidRPr="00856A1D">
        <w:rPr>
          <w:rFonts w:ascii="Noto Sans" w:eastAsia="Aptos" w:hAnsi="Noto Sans" w:cs="Noto Sans"/>
          <w:kern w:val="2"/>
          <w14:ligatures w14:val="standardContextual"/>
        </w:rPr>
        <w:t>are</w:t>
      </w:r>
      <w:r w:rsidRPr="00284813">
        <w:rPr>
          <w:rFonts w:ascii="Noto Sans" w:eastAsia="Aptos" w:hAnsi="Noto Sans" w:cs="Noto Sans"/>
          <w:kern w:val="2"/>
          <w14:ligatures w14:val="standardContextual"/>
        </w:rPr>
        <w:t xml:space="preserve"> a range of potential actions </w:t>
      </w:r>
      <w:r w:rsidR="00441C18" w:rsidRPr="00856A1D">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can choose to take to help improve the financial position and resilience of its HRA. These include:</w:t>
      </w:r>
    </w:p>
    <w:p w14:paraId="755FCD53" w14:textId="45BD3E07"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Reduc</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requirement for debt by scaling back </w:t>
      </w:r>
      <w:r w:rsidR="00C62602">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capital programme</w:t>
      </w:r>
      <w:r w:rsidR="00C62602">
        <w:rPr>
          <w:rFonts w:ascii="Noto Sans" w:eastAsia="Aptos" w:hAnsi="Noto Sans" w:cs="Noto Sans"/>
          <w:kern w:val="2"/>
          <w14:ligatures w14:val="standardContextual"/>
        </w:rPr>
        <w:t>.</w:t>
      </w:r>
    </w:p>
    <w:p w14:paraId="7754E934" w14:textId="14951BCC"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Us</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asset disposals to generate additional capital receipts for use as an alternative to borrowing</w:t>
      </w:r>
      <w:r w:rsidR="00C62602">
        <w:rPr>
          <w:rFonts w:ascii="Noto Sans" w:eastAsia="Aptos" w:hAnsi="Noto Sans" w:cs="Noto Sans"/>
          <w:kern w:val="2"/>
          <w14:ligatures w14:val="standardContextual"/>
        </w:rPr>
        <w:t>.</w:t>
      </w:r>
    </w:p>
    <w:p w14:paraId="0F835A11" w14:textId="309B5F0F"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lastRenderedPageBreak/>
        <w:t>Reallocat</w:t>
      </w:r>
      <w:r w:rsidR="00C6260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other corporate resources and receipts for use in financing the HRA capital programme or to repay HRA-related debt</w:t>
      </w:r>
      <w:r w:rsidR="00582C22">
        <w:rPr>
          <w:rFonts w:ascii="Noto Sans" w:eastAsia="Aptos" w:hAnsi="Noto Sans" w:cs="Noto Sans"/>
          <w:kern w:val="2"/>
          <w14:ligatures w14:val="standardContextual"/>
        </w:rPr>
        <w:t>.</w:t>
      </w:r>
    </w:p>
    <w:p w14:paraId="3D23007D" w14:textId="6F7D2FB0"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Maximis</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w:t>
      </w:r>
      <w:proofErr w:type="gramStart"/>
      <w:r w:rsidRPr="00284813">
        <w:rPr>
          <w:rFonts w:ascii="Noto Sans" w:eastAsia="Aptos" w:hAnsi="Noto Sans" w:cs="Noto Sans"/>
          <w:kern w:val="2"/>
          <w14:ligatures w14:val="standardContextual"/>
        </w:rPr>
        <w:t>income</w:t>
      </w:r>
      <w:proofErr w:type="gramEnd"/>
      <w:r w:rsidRPr="00284813">
        <w:rPr>
          <w:rFonts w:ascii="Noto Sans" w:eastAsia="Aptos" w:hAnsi="Noto Sans" w:cs="Noto Sans"/>
          <w:kern w:val="2"/>
          <w14:ligatures w14:val="standardContextual"/>
        </w:rPr>
        <w:t xml:space="preserve"> </w:t>
      </w:r>
      <w:r w:rsidR="00582C22">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generate from rents and service charges</w:t>
      </w:r>
      <w:r w:rsidR="00582C22">
        <w:rPr>
          <w:rFonts w:ascii="Noto Sans" w:eastAsia="Aptos" w:hAnsi="Noto Sans" w:cs="Noto Sans"/>
          <w:kern w:val="2"/>
          <w14:ligatures w14:val="standardContextual"/>
        </w:rPr>
        <w:t>.</w:t>
      </w:r>
    </w:p>
    <w:p w14:paraId="02D68BBD" w14:textId="6E46DC73" w:rsidR="00284813" w:rsidRPr="00284813" w:rsidRDefault="00284813" w:rsidP="00D33A64">
      <w:pPr>
        <w:numPr>
          <w:ilvl w:val="0"/>
          <w:numId w:val="21"/>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Minimis</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the day</w:t>
      </w:r>
      <w:r w:rsidR="00856A1D">
        <w:rPr>
          <w:rFonts w:ascii="Noto Sans" w:eastAsia="Aptos" w:hAnsi="Noto Sans" w:cs="Noto Sans"/>
          <w:kern w:val="2"/>
          <w14:ligatures w14:val="standardContextual"/>
        </w:rPr>
        <w:t>-</w:t>
      </w:r>
      <w:r w:rsidRPr="00284813">
        <w:rPr>
          <w:rFonts w:ascii="Noto Sans" w:eastAsia="Aptos" w:hAnsi="Noto Sans" w:cs="Noto Sans"/>
          <w:kern w:val="2"/>
          <w14:ligatures w14:val="standardContextual"/>
        </w:rPr>
        <w:t>to</w:t>
      </w:r>
      <w:r w:rsidR="00856A1D">
        <w:rPr>
          <w:rFonts w:ascii="Noto Sans" w:eastAsia="Aptos" w:hAnsi="Noto Sans" w:cs="Noto Sans"/>
          <w:kern w:val="2"/>
          <w14:ligatures w14:val="standardContextual"/>
        </w:rPr>
        <w:t>-</w:t>
      </w:r>
      <w:r w:rsidRPr="00284813">
        <w:rPr>
          <w:rFonts w:ascii="Noto Sans" w:eastAsia="Aptos" w:hAnsi="Noto Sans" w:cs="Noto Sans"/>
          <w:kern w:val="2"/>
          <w14:ligatures w14:val="standardContextual"/>
        </w:rPr>
        <w:t xml:space="preserve">day costs of managing and maintaining </w:t>
      </w:r>
      <w:r w:rsidR="00582C22">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homes</w:t>
      </w:r>
    </w:p>
    <w:p w14:paraId="7BBB7A58" w14:textId="7202C645" w:rsidR="00284813" w:rsidRPr="00284813" w:rsidRDefault="00284813" w:rsidP="00D33A64">
      <w:pPr>
        <w:numPr>
          <w:ilvl w:val="0"/>
          <w:numId w:val="21"/>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Ensur</w:t>
      </w:r>
      <w:r w:rsidR="00582C22">
        <w:rPr>
          <w:rFonts w:ascii="Noto Sans" w:eastAsia="Aptos" w:hAnsi="Noto Sans" w:cs="Noto Sans"/>
          <w:kern w:val="2"/>
          <w14:ligatures w14:val="standardContextual"/>
        </w:rPr>
        <w:t>ing</w:t>
      </w:r>
      <w:r w:rsidRPr="00284813">
        <w:rPr>
          <w:rFonts w:ascii="Noto Sans" w:eastAsia="Aptos" w:hAnsi="Noto Sans" w:cs="Noto Sans"/>
          <w:kern w:val="2"/>
          <w14:ligatures w14:val="standardContextual"/>
        </w:rPr>
        <w:t xml:space="preserve"> that new developments are built and operate to strict financial viability requirements, so they reduce financial pressure on the HRA</w:t>
      </w:r>
      <w:r w:rsidR="00582C22">
        <w:rPr>
          <w:rFonts w:ascii="Noto Sans" w:eastAsia="Aptos" w:hAnsi="Noto Sans" w:cs="Noto Sans"/>
          <w:kern w:val="2"/>
          <w14:ligatures w14:val="standardContextual"/>
        </w:rPr>
        <w:t>.</w:t>
      </w:r>
    </w:p>
    <w:p w14:paraId="62517403" w14:textId="4119AB9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Ideally, </w:t>
      </w:r>
      <w:r w:rsidR="00582C22">
        <w:rPr>
          <w:rFonts w:ascii="Noto Sans" w:eastAsia="Aptos" w:hAnsi="Noto Sans" w:cs="Noto Sans"/>
          <w:kern w:val="2"/>
          <w14:ligatures w14:val="standardContextual"/>
        </w:rPr>
        <w:t>we need to</w:t>
      </w:r>
      <w:r w:rsidRPr="00284813">
        <w:rPr>
          <w:rFonts w:ascii="Noto Sans" w:eastAsia="Aptos" w:hAnsi="Noto Sans" w:cs="Noto Sans"/>
          <w:kern w:val="2"/>
          <w14:ligatures w14:val="standardContextual"/>
        </w:rPr>
        <w:t xml:space="preserve"> consider implementing a range of actions that help to improve </w:t>
      </w:r>
      <w:r w:rsidR="00582C22">
        <w:rPr>
          <w:rFonts w:ascii="Noto Sans" w:eastAsia="Aptos" w:hAnsi="Noto Sans" w:cs="Noto Sans"/>
          <w:kern w:val="2"/>
          <w14:ligatures w14:val="standardContextual"/>
        </w:rPr>
        <w:t xml:space="preserve">the </w:t>
      </w:r>
      <w:r w:rsidRPr="00284813">
        <w:rPr>
          <w:rFonts w:ascii="Noto Sans" w:eastAsia="Aptos" w:hAnsi="Noto Sans" w:cs="Noto Sans"/>
          <w:kern w:val="2"/>
          <w14:ligatures w14:val="standardContextual"/>
        </w:rPr>
        <w:t xml:space="preserve">financial sustainability </w:t>
      </w:r>
      <w:r w:rsidR="00582C22">
        <w:rPr>
          <w:rFonts w:ascii="Noto Sans" w:eastAsia="Aptos" w:hAnsi="Noto Sans" w:cs="Noto Sans"/>
          <w:kern w:val="2"/>
          <w14:ligatures w14:val="standardContextual"/>
        </w:rPr>
        <w:t>of the</w:t>
      </w:r>
      <w:r w:rsidRPr="00284813">
        <w:rPr>
          <w:rFonts w:ascii="Noto Sans" w:eastAsia="Aptos" w:hAnsi="Noto Sans" w:cs="Noto Sans"/>
          <w:kern w:val="2"/>
          <w14:ligatures w14:val="standardContextual"/>
        </w:rPr>
        <w:t xml:space="preserve"> HRA. Any such measures would need to be introduced as part of a managed medium term improvement programme.</w:t>
      </w:r>
    </w:p>
    <w:p w14:paraId="69DC732D"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Scenarios</w:t>
      </w:r>
    </w:p>
    <w:p w14:paraId="493B6841"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Description of scenarios</w:t>
      </w:r>
    </w:p>
    <w:p w14:paraId="071B5677"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Alongside the Baseline projections described above, this section considers three additional scenarios:</w:t>
      </w:r>
    </w:p>
    <w:p w14:paraId="3ED0C655" w14:textId="2EABAE4B" w:rsidR="00284813" w:rsidRPr="00284813" w:rsidRDefault="00284813" w:rsidP="00D33A64">
      <w:pPr>
        <w:numPr>
          <w:ilvl w:val="0"/>
          <w:numId w:val="19"/>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An improved baseline, which allows for an illustrative package of corrective measures</w:t>
      </w:r>
      <w:r w:rsidR="00582C22">
        <w:rPr>
          <w:rFonts w:ascii="Noto Sans" w:eastAsia="Aptos" w:hAnsi="Noto Sans" w:cs="Noto Sans"/>
          <w:kern w:val="2"/>
          <w14:ligatures w14:val="standardContextual"/>
        </w:rPr>
        <w:t>.</w:t>
      </w:r>
    </w:p>
    <w:p w14:paraId="6A558012" w14:textId="093EFFAF" w:rsidR="00284813" w:rsidRPr="00284813" w:rsidRDefault="00284813" w:rsidP="00D33A64">
      <w:pPr>
        <w:numPr>
          <w:ilvl w:val="0"/>
          <w:numId w:val="19"/>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A, plus the effects of a positive change in </w:t>
      </w:r>
      <w:r w:rsidR="00582C22">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w:t>
      </w:r>
      <w:r w:rsidR="00582C22">
        <w:rPr>
          <w:rFonts w:ascii="Noto Sans" w:eastAsia="Aptos" w:hAnsi="Noto Sans" w:cs="Noto Sans"/>
          <w:kern w:val="2"/>
          <w14:ligatures w14:val="standardContextual"/>
        </w:rPr>
        <w:t>.</w:t>
      </w:r>
    </w:p>
    <w:p w14:paraId="6D1F2088" w14:textId="50E3972B" w:rsidR="00284813" w:rsidRPr="00284813" w:rsidRDefault="00284813" w:rsidP="00D33A64">
      <w:pPr>
        <w:numPr>
          <w:ilvl w:val="0"/>
          <w:numId w:val="19"/>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plus representative levels of decarbonisation </w:t>
      </w:r>
      <w:proofErr w:type="gramStart"/>
      <w:r w:rsidRPr="00284813">
        <w:rPr>
          <w:rFonts w:ascii="Noto Sans" w:eastAsia="Aptos" w:hAnsi="Noto Sans" w:cs="Noto Sans"/>
          <w:kern w:val="2"/>
          <w14:ligatures w14:val="standardContextual"/>
        </w:rPr>
        <w:t>works</w:t>
      </w:r>
      <w:proofErr w:type="gramEnd"/>
      <w:r w:rsidR="00582C22">
        <w:rPr>
          <w:rFonts w:ascii="Noto Sans" w:eastAsia="Aptos" w:hAnsi="Noto Sans" w:cs="Noto Sans"/>
          <w:kern w:val="2"/>
          <w14:ligatures w14:val="standardContextual"/>
        </w:rPr>
        <w:t>.</w:t>
      </w:r>
    </w:p>
    <w:p w14:paraId="5E2FF41F"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package of corrective measures included in Scenario A includes:</w:t>
      </w:r>
    </w:p>
    <w:p w14:paraId="70B526B2" w14:textId="3D26F3B6" w:rsidR="00284813" w:rsidRPr="00284813" w:rsidRDefault="00284813" w:rsidP="00D33A64">
      <w:pPr>
        <w:numPr>
          <w:ilvl w:val="0"/>
          <w:numId w:val="20"/>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A programme to reduce the Baseline costs of general management and repairs and maintenance by £2.700m over 5 years, starting in 2025/26</w:t>
      </w:r>
      <w:r w:rsidR="00582C22">
        <w:rPr>
          <w:rFonts w:ascii="Noto Sans" w:eastAsia="Aptos" w:hAnsi="Noto Sans" w:cs="Noto Sans"/>
          <w:kern w:val="2"/>
          <w14:ligatures w14:val="standardContextual"/>
        </w:rPr>
        <w:t>.</w:t>
      </w:r>
    </w:p>
    <w:p w14:paraId="709A67E8" w14:textId="1A607113" w:rsidR="00284813" w:rsidRPr="00284813" w:rsidRDefault="00284813" w:rsidP="00D33A64">
      <w:pPr>
        <w:numPr>
          <w:ilvl w:val="0"/>
          <w:numId w:val="20"/>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Increasing Baseline levels of service charge income by £1.000m over 5 years, starting in 2025/26</w:t>
      </w:r>
      <w:r w:rsidR="00582C22">
        <w:rPr>
          <w:rFonts w:ascii="Noto Sans" w:eastAsia="Aptos" w:hAnsi="Noto Sans" w:cs="Noto Sans"/>
          <w:kern w:val="2"/>
          <w14:ligatures w14:val="standardContextual"/>
        </w:rPr>
        <w:t>.</w:t>
      </w:r>
    </w:p>
    <w:p w14:paraId="6E912930" w14:textId="24D204D9" w:rsidR="00284813" w:rsidRPr="00284813" w:rsidRDefault="00284813" w:rsidP="00D33A64">
      <w:pPr>
        <w:numPr>
          <w:ilvl w:val="0"/>
          <w:numId w:val="20"/>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Implementing a programme for disposing of appropriate dwellings on the open market to produce capital receipts that can part-pay for the HRA capital programme. The scenario allows for the disposal of 10 dwellings p</w:t>
      </w:r>
      <w:r w:rsidR="00582C22">
        <w:rPr>
          <w:rFonts w:ascii="Noto Sans" w:eastAsia="Aptos" w:hAnsi="Noto Sans" w:cs="Noto Sans"/>
          <w:kern w:val="2"/>
          <w14:ligatures w14:val="standardContextual"/>
        </w:rPr>
        <w:t xml:space="preserve">er </w:t>
      </w:r>
      <w:r w:rsidRPr="00284813">
        <w:rPr>
          <w:rFonts w:ascii="Noto Sans" w:eastAsia="Aptos" w:hAnsi="Noto Sans" w:cs="Noto Sans"/>
          <w:kern w:val="2"/>
          <w14:ligatures w14:val="standardContextual"/>
        </w:rPr>
        <w:t>a</w:t>
      </w:r>
      <w:r w:rsidR="00582C22">
        <w:rPr>
          <w:rFonts w:ascii="Noto Sans" w:eastAsia="Aptos" w:hAnsi="Noto Sans" w:cs="Noto Sans"/>
          <w:kern w:val="2"/>
          <w14:ligatures w14:val="standardContextual"/>
        </w:rPr>
        <w:t>nnum</w:t>
      </w:r>
      <w:r w:rsidRPr="00284813">
        <w:rPr>
          <w:rFonts w:ascii="Noto Sans" w:eastAsia="Aptos" w:hAnsi="Noto Sans" w:cs="Noto Sans"/>
          <w:kern w:val="2"/>
          <w14:ligatures w14:val="standardContextual"/>
        </w:rPr>
        <w:t xml:space="preserve"> for 10 years, starting in 2025/26</w:t>
      </w:r>
      <w:r w:rsidR="00582C22">
        <w:rPr>
          <w:rFonts w:ascii="Noto Sans" w:eastAsia="Aptos" w:hAnsi="Noto Sans" w:cs="Noto Sans"/>
          <w:kern w:val="2"/>
          <w14:ligatures w14:val="standardContextual"/>
        </w:rPr>
        <w:t>.</w:t>
      </w:r>
    </w:p>
    <w:p w14:paraId="51E604A8" w14:textId="748613A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builds on the measures in Scenario A and includes the effects of a </w:t>
      </w:r>
      <w:r w:rsidR="00582C22">
        <w:rPr>
          <w:rFonts w:ascii="Noto Sans" w:eastAsia="Aptos" w:hAnsi="Noto Sans" w:cs="Noto Sans"/>
          <w:kern w:val="2"/>
          <w14:ligatures w14:val="standardContextual"/>
        </w:rPr>
        <w:t>n</w:t>
      </w:r>
      <w:r w:rsidRPr="00284813">
        <w:rPr>
          <w:rFonts w:ascii="Noto Sans" w:eastAsia="Aptos" w:hAnsi="Noto Sans" w:cs="Noto Sans"/>
          <w:kern w:val="2"/>
          <w14:ligatures w14:val="standardContextual"/>
        </w:rPr>
        <w:t>ational rent policy that permits rent increases at CPI+1% until 2029/30 (a further 4 years).</w:t>
      </w:r>
    </w:p>
    <w:p w14:paraId="004D825E" w14:textId="77777777" w:rsidR="00284813" w:rsidRPr="00284813" w:rsidRDefault="00284813" w:rsidP="00284813">
      <w:pPr>
        <w:spacing w:after="160" w:line="259" w:lineRule="auto"/>
        <w:rPr>
          <w:rFonts w:ascii="Noto Sans" w:eastAsia="Aptos" w:hAnsi="Noto Sans" w:cs="Noto Sans"/>
          <w:kern w:val="2"/>
          <w:sz w:val="22"/>
          <w:szCs w:val="22"/>
          <w14:ligatures w14:val="standardContextual"/>
        </w:rPr>
      </w:pPr>
      <w:r w:rsidRPr="00284813">
        <w:rPr>
          <w:rFonts w:ascii="Noto Sans" w:eastAsia="Aptos" w:hAnsi="Noto Sans" w:cs="Noto Sans"/>
          <w:kern w:val="2"/>
          <w14:ligatures w14:val="standardContextual"/>
        </w:rPr>
        <w:t>Scenario C adds the costs of further decarbonisation works to Scenario B. Under this scenario the cost of decarbonisation works increases to £26,600 per dwelling by 2040 (at current prices).</w:t>
      </w:r>
    </w:p>
    <w:p w14:paraId="388F01C0"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lastRenderedPageBreak/>
        <w:t>Scenario debt comparison</w:t>
      </w:r>
    </w:p>
    <w:p w14:paraId="61430608" w14:textId="77777777" w:rsidR="00284813" w:rsidRPr="00284813" w:rsidRDefault="00284813" w:rsidP="00284813">
      <w:pPr>
        <w:spacing w:after="160" w:line="259" w:lineRule="auto"/>
        <w:rPr>
          <w:rFonts w:ascii="Noto Sans" w:eastAsia="Aptos" w:hAnsi="Noto Sans" w:cs="Noto Sans"/>
          <w:kern w:val="2"/>
          <w:sz w:val="22"/>
          <w:szCs w:val="22"/>
          <w14:ligatures w14:val="standardContextual"/>
        </w:rPr>
      </w:pPr>
      <w:r w:rsidRPr="00284813">
        <w:rPr>
          <w:rFonts w:ascii="Noto Sans" w:eastAsia="Aptos" w:hAnsi="Noto Sans" w:cs="Noto Sans"/>
          <w:kern w:val="2"/>
          <w:sz w:val="22"/>
          <w:szCs w:val="22"/>
          <w14:ligatures w14:val="standardContextual"/>
        </w:rPr>
        <w:t>The chart below compares the HRA debt positions for the Baseline, plus scenarios A, B and C:</w:t>
      </w:r>
    </w:p>
    <w:p w14:paraId="634B3C9E" w14:textId="6A8D064B" w:rsidR="00284813" w:rsidRPr="00284813" w:rsidRDefault="006128F9" w:rsidP="00284813">
      <w:pPr>
        <w:spacing w:after="160" w:line="259" w:lineRule="auto"/>
        <w:rPr>
          <w:rFonts w:ascii="Noto Sans" w:eastAsia="Aptos" w:hAnsi="Noto Sans" w:cs="Noto Sans"/>
          <w:kern w:val="2"/>
          <w:sz w:val="22"/>
          <w:szCs w:val="22"/>
          <w14:ligatures w14:val="standardContextual"/>
        </w:rPr>
      </w:pPr>
      <w:r w:rsidRPr="006128F9">
        <w:rPr>
          <w:noProof/>
        </w:rPr>
        <w:drawing>
          <wp:inline distT="0" distB="0" distL="0" distR="0" wp14:anchorId="736C82DE" wp14:editId="4FFE8C11">
            <wp:extent cx="5727700" cy="1956435"/>
            <wp:effectExtent l="0" t="0" r="6350" b="5715"/>
            <wp:docPr id="164800017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956435"/>
                    </a:xfrm>
                    <a:prstGeom prst="rect">
                      <a:avLst/>
                    </a:prstGeom>
                    <a:noFill/>
                    <a:ln>
                      <a:noFill/>
                    </a:ln>
                  </pic:spPr>
                </pic:pic>
              </a:graphicData>
            </a:graphic>
          </wp:inline>
        </w:drawing>
      </w:r>
    </w:p>
    <w:p w14:paraId="58615FD3" w14:textId="54794D6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Scenario A (</w:t>
      </w:r>
      <w:r w:rsidR="00123EF2">
        <w:rPr>
          <w:rFonts w:ascii="Noto Sans" w:eastAsia="Aptos" w:hAnsi="Noto Sans" w:cs="Noto Sans"/>
          <w:kern w:val="2"/>
          <w14:ligatures w14:val="standardContextual"/>
        </w:rPr>
        <w:t>gold</w:t>
      </w:r>
      <w:r w:rsidRPr="00284813">
        <w:rPr>
          <w:rFonts w:ascii="Noto Sans" w:eastAsia="Aptos" w:hAnsi="Noto Sans" w:cs="Noto Sans"/>
          <w:kern w:val="2"/>
          <w14:ligatures w14:val="standardContextual"/>
        </w:rPr>
        <w:t xml:space="preserve"> line) plots the impact of the package of corrective measures described above on the Baseline, which is shown by the black line. The measures introduced would reduce debt levels to lower levels over the medium term and result in the scope for steady repayments of debt until the end of the period.</w:t>
      </w:r>
    </w:p>
    <w:p w14:paraId="2AA6071B" w14:textId="32DE3984"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B (green dashed line) shows the further effect on debt of being able to increase rents by CPI+1% for a further four years. Under this scenario, </w:t>
      </w:r>
      <w:r w:rsidR="007221B7">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could repay all the new borrowing required to deliver </w:t>
      </w:r>
      <w:r w:rsidR="007221B7">
        <w:rPr>
          <w:rFonts w:ascii="Noto Sans" w:eastAsia="Aptos" w:hAnsi="Noto Sans" w:cs="Noto Sans"/>
          <w:kern w:val="2"/>
          <w14:ligatures w14:val="standardContextual"/>
        </w:rPr>
        <w:t>our</w:t>
      </w:r>
      <w:r w:rsidRPr="00284813">
        <w:rPr>
          <w:rFonts w:ascii="Noto Sans" w:eastAsia="Aptos" w:hAnsi="Noto Sans" w:cs="Noto Sans"/>
          <w:kern w:val="2"/>
          <w14:ligatures w14:val="standardContextual"/>
        </w:rPr>
        <w:t xml:space="preserve"> programme by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4</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5</w:t>
      </w:r>
      <w:r w:rsidRPr="00284813">
        <w:rPr>
          <w:rFonts w:ascii="Noto Sans" w:eastAsia="Aptos" w:hAnsi="Noto Sans" w:cs="Noto Sans"/>
          <w:kern w:val="2"/>
          <w14:ligatures w14:val="standardContextual"/>
        </w:rPr>
        <w:t xml:space="preserve">, at which point </w:t>
      </w:r>
      <w:r w:rsidR="007221B7">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would only be left with existing loans that are due to be repaid in later years. Scenario B would permit </w:t>
      </w:r>
      <w:r w:rsidR="007221B7">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generate additional HRA balances from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5</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6</w:t>
      </w:r>
      <w:r w:rsidRPr="00284813">
        <w:rPr>
          <w:rFonts w:ascii="Noto Sans" w:eastAsia="Aptos" w:hAnsi="Noto Sans" w:cs="Noto Sans"/>
          <w:kern w:val="2"/>
          <w14:ligatures w14:val="standardContextual"/>
        </w:rPr>
        <w:t>, which could be used to pay for future investment as an alternative to borrowing.</w:t>
      </w:r>
    </w:p>
    <w:p w14:paraId="3E6B6E66" w14:textId="4C580B7D"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C (blue dashed line) increases the level of decarbonisation works to representative levels. This requires substantial additional borrowing until </w:t>
      </w:r>
      <w:r w:rsidR="009C0074" w:rsidRPr="00284813">
        <w:rPr>
          <w:rFonts w:ascii="Noto Sans" w:eastAsia="Aptos" w:hAnsi="Noto Sans" w:cs="Noto Sans"/>
          <w:kern w:val="2"/>
          <w14:ligatures w14:val="standardContextual"/>
        </w:rPr>
        <w:t>204</w:t>
      </w:r>
      <w:r w:rsidR="009C0074">
        <w:rPr>
          <w:rFonts w:ascii="Noto Sans" w:eastAsia="Aptos" w:hAnsi="Noto Sans" w:cs="Noto Sans"/>
          <w:kern w:val="2"/>
          <w14:ligatures w14:val="standardContextual"/>
        </w:rPr>
        <w:t>2</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4</w:t>
      </w:r>
      <w:r w:rsidR="009C0074">
        <w:rPr>
          <w:rFonts w:ascii="Noto Sans" w:eastAsia="Aptos" w:hAnsi="Noto Sans" w:cs="Noto Sans"/>
          <w:kern w:val="2"/>
          <w14:ligatures w14:val="standardContextual"/>
        </w:rPr>
        <w:t>3</w:t>
      </w:r>
      <w:r w:rsidRPr="00284813">
        <w:rPr>
          <w:rFonts w:ascii="Noto Sans" w:eastAsia="Aptos" w:hAnsi="Noto Sans" w:cs="Noto Sans"/>
          <w:kern w:val="2"/>
          <w14:ligatures w14:val="standardContextual"/>
        </w:rPr>
        <w:t xml:space="preserve">. However, the extra income generated from the higher rent increases introduced by Scenario C means that debt returns to Baseline levels </w:t>
      </w:r>
      <w:r w:rsidR="009C0074">
        <w:rPr>
          <w:rFonts w:ascii="Noto Sans" w:eastAsia="Aptos" w:hAnsi="Noto Sans" w:cs="Noto Sans"/>
          <w:kern w:val="2"/>
          <w14:ligatures w14:val="standardContextual"/>
        </w:rPr>
        <w:t>towards</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the end of the period.</w:t>
      </w:r>
    </w:p>
    <w:p w14:paraId="3A7725DB" w14:textId="234515A6"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These charts show the substantial potential impact of changes in the assumptions. The package of measures under Scenario A reduces operating costs, increases operating income and introduces additional funding. These provide </w:t>
      </w:r>
      <w:r w:rsidR="00CB4647">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with the flexibility to reduce debt levels. Scenario B has a similar impact, by increasing the rent that can be generated. Scenario C shows that a </w:t>
      </w:r>
      <w:r w:rsidRPr="00284813">
        <w:rPr>
          <w:rFonts w:ascii="Noto Sans" w:eastAsia="Aptos" w:hAnsi="Noto Sans" w:cs="Noto Sans"/>
          <w:kern w:val="2"/>
          <w14:ligatures w14:val="standardContextual"/>
        </w:rPr>
        <w:lastRenderedPageBreak/>
        <w:t>substantial increase in spending would push debt back up again, unless it can be mitigated by increased funding or further corrective measures.</w:t>
      </w:r>
    </w:p>
    <w:p w14:paraId="07F4247E" w14:textId="77777777" w:rsidR="00284813" w:rsidRPr="00284813" w:rsidRDefault="00284813" w:rsidP="00284813">
      <w:pPr>
        <w:keepNext/>
        <w:keepLines/>
        <w:spacing w:before="160" w:after="80" w:line="259" w:lineRule="auto"/>
        <w:outlineLvl w:val="1"/>
        <w:rPr>
          <w:rFonts w:ascii="Noto Sans" w:eastAsia="Times New Roman" w:hAnsi="Noto Sans" w:cs="Noto Sans"/>
          <w:b/>
          <w:bCs/>
          <w:color w:val="BD8F00" w:themeColor="accent4"/>
          <w:kern w:val="2"/>
          <w14:ligatures w14:val="standardContextual"/>
        </w:rPr>
      </w:pPr>
      <w:r w:rsidRPr="00284813">
        <w:rPr>
          <w:rFonts w:ascii="Noto Sans" w:eastAsia="Times New Roman" w:hAnsi="Noto Sans" w:cs="Noto Sans"/>
          <w:b/>
          <w:bCs/>
          <w:color w:val="BD8F00" w:themeColor="accent4"/>
          <w:kern w:val="2"/>
          <w14:ligatures w14:val="standardContextual"/>
        </w:rPr>
        <w:t>Scenario affordability comparison</w:t>
      </w:r>
    </w:p>
    <w:p w14:paraId="3C28B8C3" w14:textId="7777777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following chart compares the affordability of the Baseline with scenarios A, B and C:</w:t>
      </w:r>
    </w:p>
    <w:p w14:paraId="0144D328" w14:textId="68BD900D" w:rsidR="00284813" w:rsidRPr="00284813" w:rsidRDefault="006128F9" w:rsidP="00284813">
      <w:pPr>
        <w:spacing w:after="160" w:line="259" w:lineRule="auto"/>
        <w:rPr>
          <w:rFonts w:ascii="Noto Sans" w:eastAsia="Aptos" w:hAnsi="Noto Sans" w:cs="Noto Sans"/>
          <w:kern w:val="2"/>
          <w:sz w:val="22"/>
          <w:szCs w:val="22"/>
          <w14:ligatures w14:val="standardContextual"/>
        </w:rPr>
      </w:pPr>
      <w:r w:rsidRPr="006128F9">
        <w:rPr>
          <w:noProof/>
        </w:rPr>
        <w:drawing>
          <wp:inline distT="0" distB="0" distL="0" distR="0" wp14:anchorId="1AEE1229" wp14:editId="0FA1FD0D">
            <wp:extent cx="5727700" cy="2002155"/>
            <wp:effectExtent l="0" t="0" r="6350" b="0"/>
            <wp:docPr id="7995369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002155"/>
                    </a:xfrm>
                    <a:prstGeom prst="rect">
                      <a:avLst/>
                    </a:prstGeom>
                    <a:noFill/>
                    <a:ln>
                      <a:noFill/>
                    </a:ln>
                  </pic:spPr>
                </pic:pic>
              </a:graphicData>
            </a:graphic>
          </wp:inline>
        </w:drawing>
      </w:r>
    </w:p>
    <w:p w14:paraId="48654F7E" w14:textId="3B950C33"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The Baseline is reflected by the black line in this chart. Scenario A (</w:t>
      </w:r>
      <w:r w:rsidR="00123EF2">
        <w:rPr>
          <w:rFonts w:ascii="Noto Sans" w:eastAsia="Aptos" w:hAnsi="Noto Sans" w:cs="Noto Sans"/>
          <w:kern w:val="2"/>
          <w14:ligatures w14:val="standardContextual"/>
        </w:rPr>
        <w:t>gold</w:t>
      </w:r>
      <w:r w:rsidRPr="00284813">
        <w:rPr>
          <w:rFonts w:ascii="Noto Sans" w:eastAsia="Aptos" w:hAnsi="Noto Sans" w:cs="Noto Sans"/>
          <w:kern w:val="2"/>
          <w14:ligatures w14:val="standardContextual"/>
        </w:rPr>
        <w:t xml:space="preserve"> line) shows that affordability increases as the associated package of corrective measures helps to reduce debt levels. Scenario B (green dashed line) shows greater improvement, as higher rent increases enable the authority to minimise debt from </w:t>
      </w:r>
      <w:r w:rsidR="009C0074" w:rsidRPr="00284813">
        <w:rPr>
          <w:rFonts w:ascii="Noto Sans" w:eastAsia="Aptos" w:hAnsi="Noto Sans" w:cs="Noto Sans"/>
          <w:kern w:val="2"/>
          <w14:ligatures w14:val="standardContextual"/>
        </w:rPr>
        <w:t>205</w:t>
      </w:r>
      <w:r w:rsidR="009C0074">
        <w:rPr>
          <w:rFonts w:ascii="Noto Sans" w:eastAsia="Aptos" w:hAnsi="Noto Sans" w:cs="Noto Sans"/>
          <w:kern w:val="2"/>
          <w14:ligatures w14:val="standardContextual"/>
        </w:rPr>
        <w:t>4</w:t>
      </w:r>
      <w:r w:rsidRPr="00284813">
        <w:rPr>
          <w:rFonts w:ascii="Noto Sans" w:eastAsia="Aptos" w:hAnsi="Noto Sans" w:cs="Noto Sans"/>
          <w:kern w:val="2"/>
          <w14:ligatures w14:val="standardContextual"/>
        </w:rPr>
        <w:t>/</w:t>
      </w:r>
      <w:r w:rsidR="009C0074" w:rsidRPr="00284813">
        <w:rPr>
          <w:rFonts w:ascii="Noto Sans" w:eastAsia="Aptos" w:hAnsi="Noto Sans" w:cs="Noto Sans"/>
          <w:kern w:val="2"/>
          <w14:ligatures w14:val="standardContextual"/>
        </w:rPr>
        <w:t>5</w:t>
      </w:r>
      <w:r w:rsidR="009C0074">
        <w:rPr>
          <w:rFonts w:ascii="Noto Sans" w:eastAsia="Aptos" w:hAnsi="Noto Sans" w:cs="Noto Sans"/>
          <w:kern w:val="2"/>
          <w14:ligatures w14:val="standardContextual"/>
        </w:rPr>
        <w:t>5</w:t>
      </w:r>
      <w:r w:rsidR="009C0074" w:rsidRPr="00284813">
        <w:rPr>
          <w:rFonts w:ascii="Noto Sans" w:eastAsia="Aptos" w:hAnsi="Noto Sans" w:cs="Noto Sans"/>
          <w:kern w:val="2"/>
          <w14:ligatures w14:val="standardContextual"/>
        </w:rPr>
        <w:t xml:space="preserve"> </w:t>
      </w:r>
      <w:r w:rsidRPr="00284813">
        <w:rPr>
          <w:rFonts w:ascii="Noto Sans" w:eastAsia="Aptos" w:hAnsi="Noto Sans" w:cs="Noto Sans"/>
          <w:kern w:val="2"/>
          <w14:ligatures w14:val="standardContextual"/>
        </w:rPr>
        <w:t xml:space="preserve">onwards. </w:t>
      </w:r>
    </w:p>
    <w:p w14:paraId="71A763D2" w14:textId="796BF3E0"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Even though Scenario C </w:t>
      </w:r>
      <w:r w:rsidR="00123EF2">
        <w:rPr>
          <w:rFonts w:ascii="Noto Sans" w:eastAsia="Aptos" w:hAnsi="Noto Sans" w:cs="Noto Sans"/>
          <w:kern w:val="2"/>
          <w14:ligatures w14:val="standardContextual"/>
        </w:rPr>
        <w:t xml:space="preserve">(blue line) </w:t>
      </w:r>
      <w:r w:rsidRPr="00284813">
        <w:rPr>
          <w:rFonts w:ascii="Noto Sans" w:eastAsia="Aptos" w:hAnsi="Noto Sans" w:cs="Noto Sans"/>
          <w:kern w:val="2"/>
          <w14:ligatures w14:val="standardContextual"/>
        </w:rPr>
        <w:t>results in higher debt levels than the Baseline, it continues to produce similar levels of affordability because of the corrective measures and additional rents introduced by the other two scenarios.</w:t>
      </w:r>
    </w:p>
    <w:p w14:paraId="3DAD6CCB" w14:textId="1C79E1EA" w:rsidR="00284813" w:rsidRPr="00284813" w:rsidRDefault="00284813" w:rsidP="00284813">
      <w:pPr>
        <w:spacing w:after="160" w:line="259" w:lineRule="auto"/>
        <w:rPr>
          <w:rFonts w:ascii="Noto Sans" w:eastAsia="Aptos" w:hAnsi="Noto Sans" w:cs="Noto Sans"/>
          <w:kern w:val="2"/>
          <w14:ligatures w14:val="standardContextual"/>
        </w:rPr>
      </w:pPr>
      <w:proofErr w:type="gramStart"/>
      <w:r w:rsidRPr="00284813">
        <w:rPr>
          <w:rFonts w:ascii="Noto Sans" w:eastAsia="Aptos" w:hAnsi="Noto Sans" w:cs="Noto Sans"/>
          <w:kern w:val="2"/>
          <w14:ligatures w14:val="standardContextual"/>
        </w:rPr>
        <w:t>It is clear that changes</w:t>
      </w:r>
      <w:proofErr w:type="gramEnd"/>
      <w:r w:rsidRPr="00284813">
        <w:rPr>
          <w:rFonts w:ascii="Noto Sans" w:eastAsia="Aptos" w:hAnsi="Noto Sans" w:cs="Noto Sans"/>
          <w:kern w:val="2"/>
          <w14:ligatures w14:val="standardContextual"/>
        </w:rPr>
        <w:t xml:space="preserve"> in the underlying assumptions can have a substantial impact on financial sustainability of the HRA. It is in the </w:t>
      </w:r>
      <w:r w:rsidR="008C58CE" w:rsidRPr="000808C6">
        <w:rPr>
          <w:rFonts w:ascii="Noto Sans" w:eastAsia="Aptos" w:hAnsi="Noto Sans" w:cs="Noto Sans"/>
          <w:kern w:val="2"/>
          <w14:ligatures w14:val="standardContextual"/>
        </w:rPr>
        <w:t>Council’s</w:t>
      </w:r>
      <w:r w:rsidRPr="00284813">
        <w:rPr>
          <w:rFonts w:ascii="Noto Sans" w:eastAsia="Aptos" w:hAnsi="Noto Sans" w:cs="Noto Sans"/>
          <w:kern w:val="2"/>
          <w14:ligatures w14:val="standardContextual"/>
        </w:rPr>
        <w:t xml:space="preserve"> interests to actively explore all options for reducing costs, maximising income and generating funding for </w:t>
      </w:r>
      <w:r w:rsidR="008C58CE" w:rsidRPr="000808C6">
        <w:rPr>
          <w:rFonts w:ascii="Noto Sans" w:eastAsia="Aptos" w:hAnsi="Noto Sans" w:cs="Noto Sans"/>
          <w:kern w:val="2"/>
          <w14:ligatures w14:val="standardContextual"/>
        </w:rPr>
        <w:t>the</w:t>
      </w:r>
      <w:r w:rsidRPr="00284813">
        <w:rPr>
          <w:rFonts w:ascii="Noto Sans" w:eastAsia="Aptos" w:hAnsi="Noto Sans" w:cs="Noto Sans"/>
          <w:kern w:val="2"/>
          <w14:ligatures w14:val="standardContextual"/>
        </w:rPr>
        <w:t xml:space="preserve"> HRA. This will help </w:t>
      </w:r>
      <w:r w:rsidR="002971A9" w:rsidRPr="000808C6">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build financial resilience and respond effectively to emerging risks and opportunities.</w:t>
      </w:r>
    </w:p>
    <w:p w14:paraId="41338B2D" w14:textId="77777777" w:rsidR="00284813" w:rsidRPr="00284813" w:rsidRDefault="00284813" w:rsidP="00284813">
      <w:pPr>
        <w:keepNext/>
        <w:keepLines/>
        <w:spacing w:before="360" w:after="80" w:line="259" w:lineRule="auto"/>
        <w:outlineLvl w:val="0"/>
        <w:rPr>
          <w:rFonts w:ascii="Noto Sans" w:eastAsia="Times New Roman" w:hAnsi="Noto Sans" w:cs="Noto Sans"/>
          <w:b/>
          <w:bCs/>
          <w:color w:val="0070C0" w:themeColor="accent3"/>
          <w:kern w:val="2"/>
          <w:sz w:val="28"/>
          <w:szCs w:val="28"/>
          <w14:ligatures w14:val="standardContextual"/>
        </w:rPr>
      </w:pPr>
      <w:r w:rsidRPr="00284813">
        <w:rPr>
          <w:rFonts w:ascii="Noto Sans" w:eastAsia="Times New Roman" w:hAnsi="Noto Sans" w:cs="Noto Sans"/>
          <w:b/>
          <w:bCs/>
          <w:color w:val="0070C0" w:themeColor="accent3"/>
          <w:kern w:val="2"/>
          <w:sz w:val="28"/>
          <w:szCs w:val="28"/>
          <w14:ligatures w14:val="standardContextual"/>
        </w:rPr>
        <w:t>Safeguarding a sustainable HRA</w:t>
      </w:r>
    </w:p>
    <w:p w14:paraId="716F189C" w14:textId="5863E42D"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The Baseline position for the HRA is borderline affordable over the long term. Scenario analysis shows that the Baseline does not provide sufficient financial capacity for </w:t>
      </w:r>
      <w:r w:rsidR="002971A9" w:rsidRPr="000808C6">
        <w:rPr>
          <w:rFonts w:ascii="Noto Sans" w:eastAsia="Aptos" w:hAnsi="Noto Sans" w:cs="Noto Sans"/>
          <w:kern w:val="2"/>
          <w14:ligatures w14:val="standardContextual"/>
        </w:rPr>
        <w:t>us</w:t>
      </w:r>
      <w:r w:rsidRPr="00284813">
        <w:rPr>
          <w:rFonts w:ascii="Noto Sans" w:eastAsia="Aptos" w:hAnsi="Noto Sans" w:cs="Noto Sans"/>
          <w:kern w:val="2"/>
          <w14:ligatures w14:val="standardContextual"/>
        </w:rPr>
        <w:t xml:space="preserve"> to respond to emerging pressures. </w:t>
      </w:r>
    </w:p>
    <w:p w14:paraId="4E0FFBA7" w14:textId="430EC8E1" w:rsidR="00284813" w:rsidRPr="00284813" w:rsidRDefault="002971A9" w:rsidP="00284813">
      <w:pPr>
        <w:spacing w:after="160" w:line="259" w:lineRule="auto"/>
        <w:rPr>
          <w:rFonts w:ascii="Noto Sans" w:eastAsia="Aptos" w:hAnsi="Noto Sans" w:cs="Noto Sans"/>
          <w:kern w:val="2"/>
          <w14:ligatures w14:val="standardContextual"/>
        </w:rPr>
      </w:pPr>
      <w:r w:rsidRPr="000808C6">
        <w:rPr>
          <w:rFonts w:ascii="Noto Sans" w:eastAsia="Aptos" w:hAnsi="Noto Sans" w:cs="Noto Sans"/>
          <w:kern w:val="2"/>
          <w14:ligatures w14:val="standardContextual"/>
        </w:rPr>
        <w:lastRenderedPageBreak/>
        <w:t>We therefore</w:t>
      </w:r>
      <w:r w:rsidR="00284813" w:rsidRPr="00284813">
        <w:rPr>
          <w:rFonts w:ascii="Noto Sans" w:eastAsia="Aptos" w:hAnsi="Noto Sans" w:cs="Noto Sans"/>
          <w:kern w:val="2"/>
          <w14:ligatures w14:val="standardContextual"/>
        </w:rPr>
        <w:t xml:space="preserve"> need to</w:t>
      </w:r>
      <w:r w:rsidRPr="000808C6">
        <w:rPr>
          <w:rFonts w:ascii="Noto Sans" w:eastAsia="Aptos" w:hAnsi="Noto Sans" w:cs="Noto Sans"/>
          <w:kern w:val="2"/>
          <w14:ligatures w14:val="standardContextual"/>
        </w:rPr>
        <w:t xml:space="preserve"> review the options</w:t>
      </w:r>
      <w:r w:rsidR="006767E6" w:rsidRPr="000808C6">
        <w:rPr>
          <w:rFonts w:ascii="Noto Sans" w:eastAsia="Aptos" w:hAnsi="Noto Sans" w:cs="Noto Sans"/>
          <w:kern w:val="2"/>
          <w14:ligatures w14:val="standardContextual"/>
        </w:rPr>
        <w:t xml:space="preserve"> and</w:t>
      </w:r>
      <w:r w:rsidR="00284813" w:rsidRPr="00284813">
        <w:rPr>
          <w:rFonts w:ascii="Noto Sans" w:eastAsia="Aptos" w:hAnsi="Noto Sans" w:cs="Noto Sans"/>
          <w:kern w:val="2"/>
          <w14:ligatures w14:val="standardContextual"/>
        </w:rPr>
        <w:t xml:space="preserve"> prepare a plan </w:t>
      </w:r>
      <w:r w:rsidR="006767E6" w:rsidRPr="000808C6">
        <w:rPr>
          <w:rFonts w:ascii="Noto Sans" w:eastAsia="Aptos" w:hAnsi="Noto Sans" w:cs="Noto Sans"/>
          <w:kern w:val="2"/>
          <w14:ligatures w14:val="standardContextual"/>
        </w:rPr>
        <w:t>for</w:t>
      </w:r>
      <w:r w:rsidR="00284813" w:rsidRPr="00284813">
        <w:rPr>
          <w:rFonts w:ascii="Noto Sans" w:eastAsia="Aptos" w:hAnsi="Noto Sans" w:cs="Noto Sans"/>
          <w:kern w:val="2"/>
          <w14:ligatures w14:val="standardContextual"/>
        </w:rPr>
        <w:t xml:space="preserve"> implement</w:t>
      </w:r>
      <w:r w:rsidR="006767E6" w:rsidRPr="000808C6">
        <w:rPr>
          <w:rFonts w:ascii="Noto Sans" w:eastAsia="Aptos" w:hAnsi="Noto Sans" w:cs="Noto Sans"/>
          <w:kern w:val="2"/>
          <w14:ligatures w14:val="standardContextual"/>
        </w:rPr>
        <w:t>ing</w:t>
      </w:r>
      <w:r w:rsidR="00284813" w:rsidRPr="00284813">
        <w:rPr>
          <w:rFonts w:ascii="Noto Sans" w:eastAsia="Aptos" w:hAnsi="Noto Sans" w:cs="Noto Sans"/>
          <w:kern w:val="2"/>
          <w14:ligatures w14:val="standardContextual"/>
        </w:rPr>
        <w:t xml:space="preserve"> over the medium term, </w:t>
      </w:r>
      <w:r w:rsidR="006767E6" w:rsidRPr="000808C6">
        <w:rPr>
          <w:rFonts w:ascii="Noto Sans" w:eastAsia="Aptos" w:hAnsi="Noto Sans" w:cs="Noto Sans"/>
          <w:kern w:val="2"/>
          <w14:ligatures w14:val="standardContextual"/>
        </w:rPr>
        <w:t>that</w:t>
      </w:r>
      <w:r w:rsidR="00284813" w:rsidRPr="00284813">
        <w:rPr>
          <w:rFonts w:ascii="Noto Sans" w:eastAsia="Aptos" w:hAnsi="Noto Sans" w:cs="Noto Sans"/>
          <w:kern w:val="2"/>
          <w14:ligatures w14:val="standardContextual"/>
        </w:rPr>
        <w:t xml:space="preserve"> produces a more resilient and financially sustainable HRA. Th</w:t>
      </w:r>
      <w:r w:rsidR="006767E6" w:rsidRPr="000808C6">
        <w:rPr>
          <w:rFonts w:ascii="Noto Sans" w:eastAsia="Aptos" w:hAnsi="Noto Sans" w:cs="Noto Sans"/>
          <w:kern w:val="2"/>
          <w14:ligatures w14:val="standardContextual"/>
        </w:rPr>
        <w:t>e</w:t>
      </w:r>
      <w:r w:rsidR="00284813" w:rsidRPr="00284813">
        <w:rPr>
          <w:rFonts w:ascii="Noto Sans" w:eastAsia="Aptos" w:hAnsi="Noto Sans" w:cs="Noto Sans"/>
          <w:kern w:val="2"/>
          <w14:ligatures w14:val="standardContextual"/>
        </w:rPr>
        <w:t xml:space="preserve"> plan should prioritise choices that:</w:t>
      </w:r>
    </w:p>
    <w:p w14:paraId="56360D8F" w14:textId="09B108E4" w:rsidR="00284813" w:rsidRPr="00284813" w:rsidRDefault="00284813" w:rsidP="00D33A64">
      <w:pPr>
        <w:numPr>
          <w:ilvl w:val="0"/>
          <w:numId w:val="22"/>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Maximise income from rents and service charges</w:t>
      </w:r>
      <w:r w:rsidR="006516C7" w:rsidRPr="000808C6">
        <w:rPr>
          <w:rFonts w:ascii="Noto Sans" w:eastAsia="Aptos" w:hAnsi="Noto Sans" w:cs="Noto Sans"/>
          <w:kern w:val="2"/>
          <w14:ligatures w14:val="standardContextual"/>
        </w:rPr>
        <w:t>.</w:t>
      </w:r>
    </w:p>
    <w:p w14:paraId="72B30342" w14:textId="67AECB9F" w:rsidR="00284813" w:rsidRPr="00284813" w:rsidRDefault="00284813" w:rsidP="00D33A64">
      <w:pPr>
        <w:numPr>
          <w:ilvl w:val="0"/>
          <w:numId w:val="22"/>
        </w:numPr>
        <w:spacing w:after="160" w:line="259" w:lineRule="auto"/>
        <w:contextualSpacing/>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Minimise costs (including revenue operating costs, capital investment and development)</w:t>
      </w:r>
      <w:r w:rsidR="006516C7" w:rsidRPr="000808C6">
        <w:rPr>
          <w:rFonts w:ascii="Noto Sans" w:eastAsia="Aptos" w:hAnsi="Noto Sans" w:cs="Noto Sans"/>
          <w:kern w:val="2"/>
          <w14:ligatures w14:val="standardContextual"/>
        </w:rPr>
        <w:t>.</w:t>
      </w:r>
    </w:p>
    <w:p w14:paraId="5890F2C9" w14:textId="37C686D4" w:rsidR="00284813" w:rsidRPr="00284813" w:rsidRDefault="00284813" w:rsidP="00D33A64">
      <w:pPr>
        <w:numPr>
          <w:ilvl w:val="0"/>
          <w:numId w:val="22"/>
        </w:numPr>
        <w:spacing w:after="160" w:line="259" w:lineRule="auto"/>
        <w:ind w:left="714" w:hanging="357"/>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Help to mitigate other emerging risks</w:t>
      </w:r>
      <w:r w:rsidR="006516C7" w:rsidRPr="000808C6">
        <w:rPr>
          <w:rFonts w:ascii="Noto Sans" w:eastAsia="Aptos" w:hAnsi="Noto Sans" w:cs="Noto Sans"/>
          <w:kern w:val="2"/>
          <w14:ligatures w14:val="standardContextual"/>
        </w:rPr>
        <w:t>.</w:t>
      </w:r>
    </w:p>
    <w:p w14:paraId="4BBEF3F1" w14:textId="6CC8D427" w:rsidR="00284813" w:rsidRPr="00284813" w:rsidRDefault="00284813" w:rsidP="00284813">
      <w:pPr>
        <w:spacing w:after="160" w:line="259" w:lineRule="auto"/>
        <w:rPr>
          <w:rFonts w:ascii="Noto Sans" w:eastAsia="Aptos" w:hAnsi="Noto Sans" w:cs="Noto Sans"/>
          <w:kern w:val="2"/>
          <w14:ligatures w14:val="standardContextual"/>
        </w:rPr>
      </w:pPr>
      <w:r w:rsidRPr="00284813">
        <w:rPr>
          <w:rFonts w:ascii="Noto Sans" w:eastAsia="Aptos" w:hAnsi="Noto Sans" w:cs="Noto Sans"/>
          <w:kern w:val="2"/>
          <w14:ligatures w14:val="standardContextual"/>
        </w:rPr>
        <w:t xml:space="preserve">Scenario A </w:t>
      </w:r>
      <w:r w:rsidR="000808C6" w:rsidRPr="000808C6">
        <w:rPr>
          <w:rFonts w:ascii="Noto Sans" w:eastAsia="Aptos" w:hAnsi="Noto Sans" w:cs="Noto Sans"/>
          <w:kern w:val="2"/>
          <w14:ligatures w14:val="standardContextual"/>
        </w:rPr>
        <w:t>may represent</w:t>
      </w:r>
      <w:r w:rsidRPr="00284813">
        <w:rPr>
          <w:rFonts w:ascii="Noto Sans" w:eastAsia="Aptos" w:hAnsi="Noto Sans" w:cs="Noto Sans"/>
          <w:kern w:val="2"/>
          <w14:ligatures w14:val="standardContextual"/>
        </w:rPr>
        <w:t xml:space="preserve"> a </w:t>
      </w:r>
      <w:r w:rsidR="000808C6" w:rsidRPr="000808C6">
        <w:rPr>
          <w:rFonts w:ascii="Noto Sans" w:eastAsia="Aptos" w:hAnsi="Noto Sans" w:cs="Noto Sans"/>
          <w:kern w:val="2"/>
          <w14:ligatures w14:val="standardContextual"/>
        </w:rPr>
        <w:t xml:space="preserve">good </w:t>
      </w:r>
      <w:r w:rsidRPr="00284813">
        <w:rPr>
          <w:rFonts w:ascii="Noto Sans" w:eastAsia="Aptos" w:hAnsi="Noto Sans" w:cs="Noto Sans"/>
          <w:kern w:val="2"/>
          <w14:ligatures w14:val="standardContextual"/>
        </w:rPr>
        <w:t xml:space="preserve">starting point for </w:t>
      </w:r>
      <w:r w:rsidR="000808C6" w:rsidRPr="000808C6">
        <w:rPr>
          <w:rFonts w:ascii="Noto Sans" w:eastAsia="Aptos" w:hAnsi="Noto Sans" w:cs="Noto Sans"/>
          <w:kern w:val="2"/>
          <w14:ligatures w14:val="standardContextual"/>
        </w:rPr>
        <w:t>producing a</w:t>
      </w:r>
      <w:r w:rsidRPr="00284813">
        <w:rPr>
          <w:rFonts w:ascii="Noto Sans" w:eastAsia="Aptos" w:hAnsi="Noto Sans" w:cs="Noto Sans"/>
          <w:kern w:val="2"/>
          <w14:ligatures w14:val="standardContextual"/>
        </w:rPr>
        <w:t xml:space="preserve"> more resilient and financially sustainable HRA, </w:t>
      </w:r>
      <w:r w:rsidR="001016B1">
        <w:rPr>
          <w:rFonts w:ascii="Noto Sans" w:eastAsia="Aptos" w:hAnsi="Noto Sans" w:cs="Noto Sans"/>
          <w:kern w:val="2"/>
          <w14:ligatures w14:val="standardContextual"/>
        </w:rPr>
        <w:t>that</w:t>
      </w:r>
      <w:r w:rsidRPr="00284813">
        <w:rPr>
          <w:rFonts w:ascii="Noto Sans" w:eastAsia="Aptos" w:hAnsi="Noto Sans" w:cs="Noto Sans"/>
          <w:kern w:val="2"/>
          <w14:ligatures w14:val="standardContextual"/>
        </w:rPr>
        <w:t xml:space="preserve"> </w:t>
      </w:r>
      <w:r w:rsidR="00915CF5">
        <w:rPr>
          <w:rFonts w:ascii="Noto Sans" w:eastAsia="Aptos" w:hAnsi="Noto Sans" w:cs="Noto Sans"/>
          <w:kern w:val="2"/>
          <w14:ligatures w14:val="standardContextual"/>
        </w:rPr>
        <w:t>we</w:t>
      </w:r>
      <w:r w:rsidRPr="00284813">
        <w:rPr>
          <w:rFonts w:ascii="Noto Sans" w:eastAsia="Aptos" w:hAnsi="Noto Sans" w:cs="Noto Sans"/>
          <w:kern w:val="2"/>
          <w14:ligatures w14:val="standardContextual"/>
        </w:rPr>
        <w:t xml:space="preserve"> can develop into a deliverable plan of mitigation.</w:t>
      </w:r>
    </w:p>
    <w:p w14:paraId="77A1461B" w14:textId="18BFA7F6" w:rsidR="00284813" w:rsidRPr="00284813" w:rsidRDefault="00882D13" w:rsidP="00284813">
      <w:pPr>
        <w:spacing w:after="160" w:line="259" w:lineRule="auto"/>
        <w:rPr>
          <w:rFonts w:ascii="Noto Sans" w:eastAsia="Aptos" w:hAnsi="Noto Sans" w:cs="Noto Sans"/>
          <w:kern w:val="2"/>
          <w14:ligatures w14:val="standardContextual"/>
        </w:rPr>
      </w:pPr>
      <w:r>
        <w:rPr>
          <w:rFonts w:ascii="Noto Sans" w:eastAsia="Aptos" w:hAnsi="Noto Sans" w:cs="Noto Sans"/>
          <w:kern w:val="2"/>
          <w14:ligatures w14:val="standardContextual"/>
        </w:rPr>
        <w:t>Crucially</w:t>
      </w:r>
      <w:r w:rsidR="00027326">
        <w:rPr>
          <w:rFonts w:ascii="Noto Sans" w:eastAsia="Aptos" w:hAnsi="Noto Sans" w:cs="Noto Sans"/>
          <w:kern w:val="2"/>
          <w14:ligatures w14:val="standardContextual"/>
        </w:rPr>
        <w:t>, a</w:t>
      </w:r>
      <w:r w:rsidR="00284813" w:rsidRPr="00284813">
        <w:rPr>
          <w:rFonts w:ascii="Noto Sans" w:eastAsia="Aptos" w:hAnsi="Noto Sans" w:cs="Noto Sans"/>
          <w:kern w:val="2"/>
          <w14:ligatures w14:val="standardContextual"/>
        </w:rPr>
        <w:t xml:space="preserve">ctions taken would be insufficient to address further pressures that would arise from adopting a further plan to decarbonise the </w:t>
      </w:r>
      <w:r>
        <w:rPr>
          <w:rFonts w:ascii="Noto Sans" w:eastAsia="Aptos" w:hAnsi="Noto Sans" w:cs="Noto Sans"/>
          <w:kern w:val="2"/>
          <w14:ligatures w14:val="standardContextual"/>
        </w:rPr>
        <w:t>council</w:t>
      </w:r>
      <w:r w:rsidR="00284813" w:rsidRPr="00284813">
        <w:rPr>
          <w:rFonts w:ascii="Noto Sans" w:eastAsia="Aptos" w:hAnsi="Noto Sans" w:cs="Noto Sans"/>
          <w:kern w:val="2"/>
          <w14:ligatures w14:val="standardContextual"/>
        </w:rPr>
        <w:t xml:space="preserve"> housing stock. However, Scenario C shows that decarbonisation could become more affordable if the Government is able to provide support in the form of a more generous medium term </w:t>
      </w:r>
      <w:r>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 xml:space="preserve">ational policy on rent increases for social housing. </w:t>
      </w:r>
    </w:p>
    <w:p w14:paraId="010B66AF" w14:textId="7377FD1B" w:rsidR="00284813" w:rsidRPr="00284813" w:rsidRDefault="00882D13" w:rsidP="00284813">
      <w:pPr>
        <w:spacing w:after="160" w:line="259" w:lineRule="auto"/>
        <w:rPr>
          <w:rFonts w:ascii="Noto Sans" w:eastAsia="Aptos" w:hAnsi="Noto Sans" w:cs="Noto Sans"/>
          <w:kern w:val="2"/>
          <w14:ligatures w14:val="standardContextual"/>
        </w:rPr>
      </w:pPr>
      <w:r>
        <w:rPr>
          <w:rFonts w:ascii="Noto Sans" w:eastAsia="Aptos" w:hAnsi="Noto Sans" w:cs="Noto Sans"/>
          <w:kern w:val="2"/>
          <w14:ligatures w14:val="standardContextual"/>
        </w:rPr>
        <w:t>We</w:t>
      </w:r>
      <w:r w:rsidR="00284813" w:rsidRPr="00284813">
        <w:rPr>
          <w:rFonts w:ascii="Noto Sans" w:eastAsia="Aptos" w:hAnsi="Noto Sans" w:cs="Noto Sans"/>
          <w:kern w:val="2"/>
          <w14:ligatures w14:val="standardContextual"/>
        </w:rPr>
        <w:t xml:space="preserve"> </w:t>
      </w:r>
      <w:r>
        <w:rPr>
          <w:rFonts w:ascii="Noto Sans" w:eastAsia="Aptos" w:hAnsi="Noto Sans" w:cs="Noto Sans"/>
          <w:kern w:val="2"/>
          <w14:ligatures w14:val="standardContextual"/>
        </w:rPr>
        <w:t xml:space="preserve">therefore </w:t>
      </w:r>
      <w:r w:rsidR="001819DD">
        <w:rPr>
          <w:rFonts w:ascii="Noto Sans" w:eastAsia="Aptos" w:hAnsi="Noto Sans" w:cs="Noto Sans"/>
          <w:kern w:val="2"/>
          <w14:ligatures w14:val="standardContextual"/>
        </w:rPr>
        <w:t xml:space="preserve">need to </w:t>
      </w:r>
      <w:r w:rsidR="00284813" w:rsidRPr="00284813">
        <w:rPr>
          <w:rFonts w:ascii="Noto Sans" w:eastAsia="Aptos" w:hAnsi="Noto Sans" w:cs="Noto Sans"/>
          <w:kern w:val="2"/>
          <w14:ligatures w14:val="standardContextual"/>
        </w:rPr>
        <w:t xml:space="preserve">make this case to government and lobby for additional support. Types of support include securing </w:t>
      </w:r>
      <w:r w:rsidR="00D33A64">
        <w:rPr>
          <w:rFonts w:ascii="Noto Sans" w:eastAsia="Aptos" w:hAnsi="Noto Sans" w:cs="Noto Sans"/>
          <w:kern w:val="2"/>
          <w14:ligatures w14:val="standardContextual"/>
        </w:rPr>
        <w:t xml:space="preserve">a </w:t>
      </w:r>
      <w:r w:rsidR="00284813" w:rsidRPr="00284813">
        <w:rPr>
          <w:rFonts w:ascii="Noto Sans" w:eastAsia="Aptos" w:hAnsi="Noto Sans" w:cs="Noto Sans"/>
          <w:kern w:val="2"/>
          <w14:ligatures w14:val="standardContextual"/>
        </w:rPr>
        <w:t xml:space="preserve">commitment to a medium to long term </w:t>
      </w:r>
      <w:r w:rsidR="00D33A64">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 xml:space="preserve">ational policy on increasing rents by more than CPI, as well as funding for decarbonisation and stock investment works that are required as part of enhanced </w:t>
      </w:r>
      <w:r w:rsidR="00D33A64">
        <w:rPr>
          <w:rFonts w:ascii="Noto Sans" w:eastAsia="Aptos" w:hAnsi="Noto Sans" w:cs="Noto Sans"/>
          <w:kern w:val="2"/>
          <w14:ligatures w14:val="standardContextual"/>
        </w:rPr>
        <w:t>n</w:t>
      </w:r>
      <w:r w:rsidR="00284813" w:rsidRPr="00284813">
        <w:rPr>
          <w:rFonts w:ascii="Noto Sans" w:eastAsia="Aptos" w:hAnsi="Noto Sans" w:cs="Noto Sans"/>
          <w:kern w:val="2"/>
          <w14:ligatures w14:val="standardContextual"/>
        </w:rPr>
        <w:t>ational policy requirements.</w:t>
      </w:r>
    </w:p>
    <w:p w14:paraId="22F66C02" w14:textId="77777777" w:rsidR="00284813" w:rsidRPr="00710E9C" w:rsidRDefault="00284813" w:rsidP="00284813">
      <w:pPr>
        <w:rPr>
          <w:rFonts w:ascii="Noto Sans" w:eastAsia="Calibri" w:hAnsi="Noto Sans" w:cs="Noto Sans"/>
          <w:b/>
          <w:bCs/>
          <w:color w:val="0070C0" w:themeColor="accent1"/>
          <w:sz w:val="36"/>
          <w:szCs w:val="36"/>
          <w:lang w:val="en-US" w:eastAsia="en-GB"/>
        </w:rPr>
      </w:pPr>
    </w:p>
    <w:sectPr w:rsidR="00284813" w:rsidRPr="00710E9C" w:rsidSect="00AE7C7E">
      <w:headerReference w:type="default" r:id="rId20"/>
      <w:footerReference w:type="even" r:id="rId21"/>
      <w:footerReference w:type="default" r:id="rId22"/>
      <w:pgSz w:w="11900" w:h="16840"/>
      <w:pgMar w:top="1080" w:right="1440" w:bottom="1080" w:left="1440" w:header="39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4931" w14:textId="77777777" w:rsidR="004243F2" w:rsidRDefault="004243F2" w:rsidP="00FB165C">
      <w:r>
        <w:separator/>
      </w:r>
    </w:p>
    <w:p w14:paraId="289D9E71" w14:textId="77777777" w:rsidR="004243F2" w:rsidRDefault="004243F2"/>
    <w:p w14:paraId="41D40D06" w14:textId="77777777" w:rsidR="004243F2" w:rsidRDefault="004243F2"/>
  </w:endnote>
  <w:endnote w:type="continuationSeparator" w:id="0">
    <w:p w14:paraId="67D4BB4F" w14:textId="77777777" w:rsidR="004243F2" w:rsidRDefault="004243F2" w:rsidP="00FB165C">
      <w:r>
        <w:continuationSeparator/>
      </w:r>
    </w:p>
    <w:p w14:paraId="6722AA7A" w14:textId="77777777" w:rsidR="004243F2" w:rsidRDefault="004243F2"/>
    <w:p w14:paraId="37F2EFED" w14:textId="77777777" w:rsidR="004243F2" w:rsidRDefault="00424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Rubik">
    <w:altName w:val="Arial"/>
    <w:charset w:val="00"/>
    <w:family w:val="auto"/>
    <w:pitch w:val="variable"/>
    <w:sig w:usb0="A0000A6F" w:usb1="4000205B" w:usb2="00000000" w:usb3="00000000" w:csb0="000000B7" w:csb1="00000000"/>
  </w:font>
  <w:font w:name="Lato">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Rubik SemiBold">
    <w:charset w:val="00"/>
    <w:family w:val="auto"/>
    <w:pitch w:val="variable"/>
    <w:sig w:usb0="A0000A6F" w:usb1="4000205B"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Noto Sans">
    <w:charset w:val="00"/>
    <w:family w:val="swiss"/>
    <w:pitch w:val="variable"/>
    <w:sig w:usb0="E00082FF" w:usb1="400078FF" w:usb2="00000021" w:usb3="00000000" w:csb0="0000019F" w:csb1="00000000"/>
  </w:font>
  <w:font w:name="Azo Sans Lt">
    <w:panose1 w:val="00000000000000000000"/>
    <w:charset w:val="00"/>
    <w:family w:val="modern"/>
    <w:notTrueType/>
    <w:pitch w:val="variable"/>
    <w:sig w:usb0="00000007" w:usb1="00000000" w:usb2="00000000" w:usb3="00000000" w:csb0="00000093" w:csb1="00000000"/>
  </w:font>
  <w:font w:name="GillSansNova-Book">
    <w:altName w:val="Calibri"/>
    <w:panose1 w:val="00000000000000000000"/>
    <w:charset w:val="00"/>
    <w:family w:val="swiss"/>
    <w:notTrueType/>
    <w:pitch w:val="default"/>
    <w:sig w:usb0="00000003" w:usb1="00000000" w:usb2="00000000" w:usb3="00000000" w:csb0="00000001" w:csb1="00000000"/>
  </w:font>
  <w:font w:name="AzoSans-Light">
    <w:altName w:val="Calibri"/>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CDDC" w14:textId="42D89214" w:rsidR="00FB165C" w:rsidRDefault="00FB165C" w:rsidP="00FB16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644341" w14:textId="77777777" w:rsidR="00FB165C" w:rsidRDefault="00FB165C">
    <w:pPr>
      <w:pStyle w:val="Footer"/>
    </w:pPr>
  </w:p>
  <w:p w14:paraId="17AEE16B" w14:textId="77777777" w:rsidR="00B21DE3" w:rsidRDefault="00B21DE3"/>
  <w:p w14:paraId="3C391EB8" w14:textId="77777777" w:rsidR="00840731" w:rsidRDefault="00840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29DB" w14:textId="26426B3D" w:rsidR="00C3113A" w:rsidRDefault="00C3113A" w:rsidP="00052507">
    <w:pPr>
      <w:pStyle w:val="Footer"/>
      <w:framePr w:w="2142" w:wrap="around" w:vAnchor="text" w:hAnchor="page" w:x="8495" w:y="-30"/>
      <w:jc w:val="right"/>
      <w:rPr>
        <w:rStyle w:val="PageNumber"/>
        <w:rFonts w:asciiTheme="majorHAnsi" w:hAnsiTheme="majorHAnsi"/>
      </w:rPr>
    </w:pPr>
  </w:p>
  <w:p w14:paraId="1AB03BAA" w14:textId="025FAE58" w:rsidR="00FB165C" w:rsidRPr="00193839" w:rsidRDefault="00FB165C" w:rsidP="00052507">
    <w:pPr>
      <w:pStyle w:val="Footer"/>
      <w:framePr w:w="2142" w:wrap="around" w:vAnchor="text" w:hAnchor="page" w:x="8495" w:y="-30"/>
      <w:jc w:val="right"/>
      <w:rPr>
        <w:rStyle w:val="PageNumber"/>
        <w:rFonts w:asciiTheme="majorHAnsi" w:hAnsiTheme="majorHAnsi"/>
      </w:rPr>
    </w:pPr>
    <w:r w:rsidRPr="00193839">
      <w:rPr>
        <w:rStyle w:val="PageNumber"/>
        <w:rFonts w:asciiTheme="majorHAnsi" w:hAnsiTheme="majorHAnsi"/>
      </w:rPr>
      <w:fldChar w:fldCharType="begin"/>
    </w:r>
    <w:r w:rsidRPr="00193839">
      <w:rPr>
        <w:rStyle w:val="PageNumber"/>
        <w:rFonts w:asciiTheme="majorHAnsi" w:hAnsiTheme="majorHAnsi"/>
      </w:rPr>
      <w:instrText xml:space="preserve">PAGE  </w:instrText>
    </w:r>
    <w:r w:rsidRPr="00193839">
      <w:rPr>
        <w:rStyle w:val="PageNumber"/>
        <w:rFonts w:asciiTheme="majorHAnsi" w:hAnsiTheme="majorHAnsi"/>
      </w:rPr>
      <w:fldChar w:fldCharType="separate"/>
    </w:r>
    <w:r w:rsidR="00260FD8">
      <w:rPr>
        <w:rStyle w:val="PageNumber"/>
        <w:rFonts w:asciiTheme="majorHAnsi" w:hAnsiTheme="majorHAnsi"/>
        <w:noProof/>
      </w:rPr>
      <w:t>13</w:t>
    </w:r>
    <w:r w:rsidRPr="00193839">
      <w:rPr>
        <w:rStyle w:val="PageNumber"/>
        <w:rFonts w:asciiTheme="majorHAnsi" w:hAnsiTheme="majorHAnsi"/>
      </w:rPr>
      <w:fldChar w:fldCharType="end"/>
    </w:r>
  </w:p>
  <w:p w14:paraId="47D1DD4A" w14:textId="77777777" w:rsidR="00C3113A" w:rsidRDefault="00C3113A" w:rsidP="00E05588">
    <w:pPr>
      <w:pStyle w:val="Footer"/>
      <w:rPr>
        <w:rFonts w:ascii="Noto Sans" w:hAnsi="Noto Sans" w:cs="Noto Sans"/>
        <w:noProof/>
      </w:rPr>
    </w:pPr>
  </w:p>
  <w:p w14:paraId="79998915" w14:textId="6243AD3B" w:rsidR="00E05588" w:rsidRPr="00A73D25" w:rsidRDefault="00E05588" w:rsidP="00E05588">
    <w:pPr>
      <w:pStyle w:val="Footer"/>
      <w:rPr>
        <w:rFonts w:ascii="Noto Sans" w:hAnsi="Noto Sans" w:cs="Noto Sans"/>
        <w:noProof/>
      </w:rPr>
    </w:pPr>
    <w:r>
      <w:rPr>
        <w:rFonts w:ascii="Noto Sans" w:hAnsi="Noto Sans" w:cs="Noto Sans"/>
        <w:noProof/>
      </w:rPr>
      <w:t xml:space="preserve">HRA </w:t>
    </w:r>
    <w:r w:rsidR="00244AB0">
      <w:rPr>
        <w:rFonts w:ascii="Noto Sans" w:hAnsi="Noto Sans" w:cs="Noto Sans"/>
        <w:noProof/>
      </w:rPr>
      <w:t>Business</w:t>
    </w:r>
    <w:r w:rsidRPr="00A73D25">
      <w:rPr>
        <w:rFonts w:ascii="Noto Sans" w:hAnsi="Noto Sans" w:cs="Noto Sans"/>
        <w:noProof/>
      </w:rPr>
      <w:t xml:space="preserve"> </w:t>
    </w:r>
    <w:r>
      <w:rPr>
        <w:rFonts w:ascii="Noto Sans" w:hAnsi="Noto Sans" w:cs="Noto Sans"/>
        <w:noProof/>
      </w:rPr>
      <w:t>Plan</w:t>
    </w:r>
    <w:r w:rsidRPr="00A73D25">
      <w:rPr>
        <w:rFonts w:ascii="Noto Sans" w:hAnsi="Noto Sans" w:cs="Noto Sans"/>
        <w:noProof/>
      </w:rPr>
      <w:t xml:space="preserve"> 202</w:t>
    </w:r>
    <w:r w:rsidR="00244AB0">
      <w:rPr>
        <w:rFonts w:ascii="Noto Sans" w:hAnsi="Noto Sans" w:cs="Noto Sans"/>
        <w:noProof/>
      </w:rPr>
      <w:t>4</w:t>
    </w:r>
    <w:r w:rsidR="00CE42F1">
      <w:rPr>
        <w:rFonts w:ascii="Noto Sans" w:hAnsi="Noto Sans" w:cs="Noto Sans"/>
        <w:noProof/>
      </w:rPr>
      <w:t xml:space="preserve">                                                                              </w:t>
    </w:r>
  </w:p>
  <w:p w14:paraId="6D957B83" w14:textId="1B99BF91" w:rsidR="00FB165C" w:rsidRPr="00AC39F2" w:rsidRDefault="00B318A7" w:rsidP="00B318A7">
    <w:pPr>
      <w:pStyle w:val="Footer"/>
      <w:rPr>
        <w:rFonts w:ascii="Roboto" w:hAnsi="Roboto"/>
        <w:sz w:val="20"/>
        <w:szCs w:val="20"/>
      </w:rPr>
    </w:pPr>
    <w:r>
      <w:rPr>
        <w:noProof/>
      </w:rPr>
      <w:t xml:space="preserve">                                                                                                               </w:t>
    </w:r>
  </w:p>
  <w:p w14:paraId="65C97134" w14:textId="77777777" w:rsidR="00B21DE3" w:rsidRDefault="00B21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1D77" w14:textId="77777777" w:rsidR="004243F2" w:rsidRDefault="004243F2" w:rsidP="00FB165C">
      <w:r>
        <w:separator/>
      </w:r>
    </w:p>
    <w:p w14:paraId="16D934DA" w14:textId="77777777" w:rsidR="004243F2" w:rsidRDefault="004243F2"/>
    <w:p w14:paraId="25CD41C6" w14:textId="77777777" w:rsidR="004243F2" w:rsidRDefault="004243F2"/>
  </w:footnote>
  <w:footnote w:type="continuationSeparator" w:id="0">
    <w:p w14:paraId="7D3DEB3B" w14:textId="77777777" w:rsidR="004243F2" w:rsidRDefault="004243F2" w:rsidP="00FB165C">
      <w:r>
        <w:continuationSeparator/>
      </w:r>
    </w:p>
    <w:p w14:paraId="4B762687" w14:textId="77777777" w:rsidR="004243F2" w:rsidRDefault="004243F2"/>
    <w:p w14:paraId="0EB0D8B2" w14:textId="77777777" w:rsidR="004243F2" w:rsidRDefault="004243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A4A3" w14:textId="7CF8C258" w:rsidR="003D6B12" w:rsidRDefault="008268B1" w:rsidP="006B67FB">
    <w:pPr>
      <w:pStyle w:val="Header"/>
      <w:jc w:val="right"/>
    </w:pPr>
    <w:r>
      <w:rPr>
        <w:noProof/>
      </w:rPr>
      <w:drawing>
        <wp:inline distT="0" distB="0" distL="0" distR="0" wp14:anchorId="606036DA" wp14:editId="36B7DA8C">
          <wp:extent cx="1080000" cy="612483"/>
          <wp:effectExtent l="0" t="0" r="6350" b="0"/>
          <wp:docPr id="188771748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04360" name="Pictur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12483"/>
                  </a:xfrm>
                  <a:prstGeom prst="rect">
                    <a:avLst/>
                  </a:prstGeom>
                  <a:noFill/>
                </pic:spPr>
              </pic:pic>
            </a:graphicData>
          </a:graphic>
        </wp:inline>
      </w:drawing>
    </w:r>
  </w:p>
  <w:p w14:paraId="47585C3A" w14:textId="77777777" w:rsidR="00B21DE3" w:rsidRDefault="00B21DE3" w:rsidP="00E05588">
    <w:pPr>
      <w:pStyle w:val="Header"/>
    </w:pPr>
  </w:p>
  <w:p w14:paraId="08795D1F" w14:textId="77777777" w:rsidR="00840731" w:rsidRDefault="008407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A04"/>
    <w:multiLevelType w:val="hybridMultilevel"/>
    <w:tmpl w:val="A19ED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6561E"/>
    <w:multiLevelType w:val="hybridMultilevel"/>
    <w:tmpl w:val="6D78106C"/>
    <w:lvl w:ilvl="0" w:tplc="FFFFFFFF">
      <w:numFmt w:val="bullet"/>
      <w:lvlText w:val="•"/>
      <w:lvlJc w:val="left"/>
      <w:pPr>
        <w:ind w:left="1080" w:hanging="720"/>
      </w:pPr>
      <w:rPr>
        <w:rFonts w:ascii="Abadi" w:eastAsiaTheme="minorEastAsia" w:hAnsi="Abadi" w:cstheme="minorBidi"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D52ABA"/>
    <w:multiLevelType w:val="hybridMultilevel"/>
    <w:tmpl w:val="B38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536BB"/>
    <w:multiLevelType w:val="hybridMultilevel"/>
    <w:tmpl w:val="C98A3942"/>
    <w:lvl w:ilvl="0" w:tplc="12D024DA">
      <w:start w:val="1"/>
      <w:numFmt w:val="bullet"/>
      <w:pStyle w:val="Trivallisbullet1"/>
      <w:lvlText w:val=""/>
      <w:lvlJc w:val="left"/>
      <w:pPr>
        <w:ind w:left="720" w:hanging="360"/>
      </w:pPr>
      <w:rPr>
        <w:rFonts w:ascii="Symbol" w:hAnsi="Symbol" w:hint="default"/>
        <w:color w:val="00B0F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63537"/>
    <w:multiLevelType w:val="hybridMultilevel"/>
    <w:tmpl w:val="53FA0606"/>
    <w:lvl w:ilvl="0" w:tplc="A8707A76">
      <w:start w:val="1"/>
      <w:numFmt w:val="bullet"/>
      <w:pStyle w:val="Anchorbullet"/>
      <w:lvlText w:val=""/>
      <w:lvlJc w:val="left"/>
      <w:pPr>
        <w:ind w:left="720" w:hanging="360"/>
      </w:pPr>
      <w:rPr>
        <w:rFonts w:ascii="Symbol" w:hAnsi="Symbol" w:hint="default"/>
        <w:color w:val="10CCA4" w:themeColor="accent6"/>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C6397"/>
    <w:multiLevelType w:val="hybridMultilevel"/>
    <w:tmpl w:val="B5D0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F3477F"/>
    <w:multiLevelType w:val="hybridMultilevel"/>
    <w:tmpl w:val="2D68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D525A"/>
    <w:multiLevelType w:val="hybridMultilevel"/>
    <w:tmpl w:val="21D2E79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5487E91"/>
    <w:multiLevelType w:val="hybridMultilevel"/>
    <w:tmpl w:val="7D34B23E"/>
    <w:lvl w:ilvl="0" w:tplc="987E93E4">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B5A1E"/>
    <w:multiLevelType w:val="hybridMultilevel"/>
    <w:tmpl w:val="72D034E0"/>
    <w:lvl w:ilvl="0" w:tplc="B5A02956">
      <w:numFmt w:val="bullet"/>
      <w:lvlText w:val="•"/>
      <w:lvlJc w:val="left"/>
      <w:pPr>
        <w:ind w:left="1080" w:hanging="720"/>
      </w:pPr>
      <w:rPr>
        <w:rFonts w:ascii="Abadi" w:eastAsiaTheme="minorEastAsia" w:hAnsi="Abadi" w:cstheme="minorBidi" w:hint="default"/>
      </w:rPr>
    </w:lvl>
    <w:lvl w:ilvl="1" w:tplc="D72412AE">
      <w:numFmt w:val="bullet"/>
      <w:lvlText w:val=""/>
      <w:lvlJc w:val="left"/>
      <w:pPr>
        <w:ind w:left="1800" w:hanging="720"/>
      </w:pPr>
      <w:rPr>
        <w:rFonts w:ascii="Symbol" w:eastAsiaTheme="minorEastAsia"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A022F"/>
    <w:multiLevelType w:val="hybridMultilevel"/>
    <w:tmpl w:val="92D4581A"/>
    <w:lvl w:ilvl="0" w:tplc="C28C1C74">
      <w:start w:val="1"/>
      <w:numFmt w:val="bullet"/>
      <w:pStyle w:val="Hvybullet1"/>
      <w:lvlText w:val=""/>
      <w:lvlJc w:val="left"/>
      <w:pPr>
        <w:ind w:left="720" w:hanging="360"/>
      </w:pPr>
      <w:rPr>
        <w:rFonts w:ascii="Symbol" w:hAnsi="Symbo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64C52C6"/>
    <w:multiLevelType w:val="hybridMultilevel"/>
    <w:tmpl w:val="552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51549A"/>
    <w:multiLevelType w:val="hybridMultilevel"/>
    <w:tmpl w:val="0B90DDBE"/>
    <w:lvl w:ilvl="0" w:tplc="5DD669D4">
      <w:start w:val="1"/>
      <w:numFmt w:val="upperLetter"/>
      <w:pStyle w:val="Choiceheadings"/>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3" w15:restartNumberingAfterBreak="0">
    <w:nsid w:val="3A06368B"/>
    <w:multiLevelType w:val="hybridMultilevel"/>
    <w:tmpl w:val="A8EE21D6"/>
    <w:lvl w:ilvl="0" w:tplc="58E233BE">
      <w:start w:val="1"/>
      <w:numFmt w:val="bullet"/>
      <w:pStyle w:val="PCHbullet"/>
      <w:lvlText w:val=""/>
      <w:lvlJc w:val="left"/>
      <w:pPr>
        <w:ind w:left="720" w:hanging="360"/>
      </w:pPr>
      <w:rPr>
        <w:rFonts w:ascii="Symbol" w:hAnsi="Symbol" w:hint="default"/>
        <w:color w:val="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86F66"/>
    <w:multiLevelType w:val="hybridMultilevel"/>
    <w:tmpl w:val="C79C24E4"/>
    <w:lvl w:ilvl="0" w:tplc="32266D70">
      <w:start w:val="1"/>
      <w:numFmt w:val="upperLetter"/>
      <w:lvlText w:val="%1."/>
      <w:lvlJc w:val="left"/>
      <w:pPr>
        <w:ind w:left="720" w:hanging="360"/>
      </w:pPr>
      <w:rPr>
        <w:rFonts w:ascii="Arial" w:hAnsi="Arial" w:hint="default"/>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927973"/>
    <w:multiLevelType w:val="hybridMultilevel"/>
    <w:tmpl w:val="EA80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684D6F"/>
    <w:multiLevelType w:val="hybridMultilevel"/>
    <w:tmpl w:val="CA7CAA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A0CAA"/>
    <w:multiLevelType w:val="hybridMultilevel"/>
    <w:tmpl w:val="9B582588"/>
    <w:lvl w:ilvl="0" w:tplc="4A6C786E">
      <w:start w:val="1"/>
      <w:numFmt w:val="bullet"/>
      <w:pStyle w:val="Arkbullet1"/>
      <w:lvlText w:val=""/>
      <w:lvlJc w:val="left"/>
      <w:pPr>
        <w:ind w:left="720" w:hanging="360"/>
      </w:pPr>
      <w:rPr>
        <w:rFonts w:ascii="Symbol" w:hAnsi="Symbol" w:hint="default"/>
        <w:color w:val="0070C0" w:themeColor="accen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B5B8A"/>
    <w:multiLevelType w:val="hybridMultilevel"/>
    <w:tmpl w:val="0998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9E1334"/>
    <w:multiLevelType w:val="hybridMultilevel"/>
    <w:tmpl w:val="CDF4A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F3376"/>
    <w:multiLevelType w:val="hybridMultilevel"/>
    <w:tmpl w:val="EEC806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01F48"/>
    <w:multiLevelType w:val="hybridMultilevel"/>
    <w:tmpl w:val="746EF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66EA4"/>
    <w:multiLevelType w:val="hybridMultilevel"/>
    <w:tmpl w:val="B546E774"/>
    <w:lvl w:ilvl="0" w:tplc="FFFFFFFF">
      <w:numFmt w:val="bullet"/>
      <w:lvlText w:val="•"/>
      <w:lvlJc w:val="left"/>
      <w:pPr>
        <w:ind w:left="1080" w:hanging="720"/>
      </w:pPr>
      <w:rPr>
        <w:rFonts w:ascii="Abadi" w:eastAsiaTheme="minorEastAsia" w:hAnsi="Abadi" w:cstheme="minorBidi" w:hint="default"/>
      </w:rPr>
    </w:lvl>
    <w:lvl w:ilvl="1" w:tplc="630674D6">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3757E7"/>
    <w:multiLevelType w:val="hybridMultilevel"/>
    <w:tmpl w:val="D1485B98"/>
    <w:lvl w:ilvl="0" w:tplc="514E6CB0">
      <w:start w:val="1"/>
      <w:numFmt w:val="decimal"/>
      <w:pStyle w:val="ArkParanumbere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9817FE"/>
    <w:multiLevelType w:val="hybridMultilevel"/>
    <w:tmpl w:val="3F0AD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05258"/>
    <w:multiLevelType w:val="hybridMultilevel"/>
    <w:tmpl w:val="AABED0BC"/>
    <w:lvl w:ilvl="0" w:tplc="FFFFFFFF">
      <w:start w:val="1"/>
      <w:numFmt w:val="bullet"/>
      <w:lvlText w:val=""/>
      <w:lvlJc w:val="left"/>
      <w:pPr>
        <w:ind w:left="720" w:hanging="360"/>
      </w:pPr>
      <w:rPr>
        <w:rFonts w:ascii="Symbol" w:hAnsi="Symbol" w:hint="default"/>
        <w:color w:val="0070C0" w:themeColor="accent1"/>
      </w:rPr>
    </w:lvl>
    <w:lvl w:ilvl="1" w:tplc="4A1A301E">
      <w:start w:val="1"/>
      <w:numFmt w:val="bullet"/>
      <w:pStyle w:val="OCCbullet2"/>
      <w:lvlText w:val=""/>
      <w:lvlJc w:val="left"/>
      <w:pPr>
        <w:ind w:left="1440" w:hanging="360"/>
      </w:pPr>
      <w:rPr>
        <w:rFonts w:ascii="Symbol" w:hAnsi="Symbol" w:hint="default"/>
        <w:color w:val="BD8F00" w:themeColor="accent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F52B26"/>
    <w:multiLevelType w:val="hybridMultilevel"/>
    <w:tmpl w:val="09F0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070B51"/>
    <w:multiLevelType w:val="hybridMultilevel"/>
    <w:tmpl w:val="C9BE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9256B2"/>
    <w:multiLevelType w:val="hybridMultilevel"/>
    <w:tmpl w:val="45F6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4238B4"/>
    <w:multiLevelType w:val="hybridMultilevel"/>
    <w:tmpl w:val="EF7266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0E5E40"/>
    <w:multiLevelType w:val="hybridMultilevel"/>
    <w:tmpl w:val="603C4896"/>
    <w:lvl w:ilvl="0" w:tplc="75BC3954">
      <w:start w:val="1"/>
      <w:numFmt w:val="bullet"/>
      <w:pStyle w:val="Boxbullet"/>
      <w:lvlText w:val=""/>
      <w:lvlJc w:val="left"/>
      <w:pPr>
        <w:ind w:left="720" w:hanging="360"/>
      </w:pPr>
      <w:rPr>
        <w:rFonts w:ascii="Symbol" w:hAnsi="Symbol" w:hint="default"/>
      </w:rPr>
    </w:lvl>
    <w:lvl w:ilvl="1" w:tplc="D5687ED8">
      <w:start w:val="1"/>
      <w:numFmt w:val="bullet"/>
      <w:pStyle w:val="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562A5"/>
    <w:multiLevelType w:val="hybridMultilevel"/>
    <w:tmpl w:val="2BA4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800056">
    <w:abstractNumId w:val="30"/>
  </w:num>
  <w:num w:numId="2" w16cid:durableId="867376139">
    <w:abstractNumId w:val="23"/>
  </w:num>
  <w:num w:numId="3" w16cid:durableId="353923391">
    <w:abstractNumId w:val="4"/>
  </w:num>
  <w:num w:numId="4" w16cid:durableId="848640972">
    <w:abstractNumId w:val="13"/>
  </w:num>
  <w:num w:numId="5" w16cid:durableId="588471161">
    <w:abstractNumId w:val="12"/>
  </w:num>
  <w:num w:numId="6" w16cid:durableId="1352952756">
    <w:abstractNumId w:val="10"/>
  </w:num>
  <w:num w:numId="7" w16cid:durableId="1982298969">
    <w:abstractNumId w:val="17"/>
  </w:num>
  <w:num w:numId="8" w16cid:durableId="985859884">
    <w:abstractNumId w:val="25"/>
  </w:num>
  <w:num w:numId="9" w16cid:durableId="177157197">
    <w:abstractNumId w:val="3"/>
  </w:num>
  <w:num w:numId="10" w16cid:durableId="444350903">
    <w:abstractNumId w:val="8"/>
  </w:num>
  <w:num w:numId="11" w16cid:durableId="168299202">
    <w:abstractNumId w:val="29"/>
  </w:num>
  <w:num w:numId="12" w16cid:durableId="1956403648">
    <w:abstractNumId w:val="24"/>
  </w:num>
  <w:num w:numId="13" w16cid:durableId="1421365658">
    <w:abstractNumId w:val="20"/>
  </w:num>
  <w:num w:numId="14" w16cid:durableId="1511677375">
    <w:abstractNumId w:val="15"/>
  </w:num>
  <w:num w:numId="15" w16cid:durableId="1553341901">
    <w:abstractNumId w:val="28"/>
  </w:num>
  <w:num w:numId="16" w16cid:durableId="340132668">
    <w:abstractNumId w:val="19"/>
  </w:num>
  <w:num w:numId="17" w16cid:durableId="233589325">
    <w:abstractNumId w:val="7"/>
  </w:num>
  <w:num w:numId="18" w16cid:durableId="2001226034">
    <w:abstractNumId w:val="11"/>
  </w:num>
  <w:num w:numId="19" w16cid:durableId="843786634">
    <w:abstractNumId w:val="14"/>
  </w:num>
  <w:num w:numId="20" w16cid:durableId="1509640833">
    <w:abstractNumId w:val="31"/>
  </w:num>
  <w:num w:numId="21" w16cid:durableId="559026587">
    <w:abstractNumId w:val="6"/>
  </w:num>
  <w:num w:numId="22" w16cid:durableId="294218949">
    <w:abstractNumId w:val="5"/>
  </w:num>
  <w:num w:numId="23" w16cid:durableId="58983457">
    <w:abstractNumId w:val="2"/>
  </w:num>
  <w:num w:numId="24" w16cid:durableId="1164123459">
    <w:abstractNumId w:val="16"/>
  </w:num>
  <w:num w:numId="25" w16cid:durableId="2085446314">
    <w:abstractNumId w:val="27"/>
  </w:num>
  <w:num w:numId="26" w16cid:durableId="1108888663">
    <w:abstractNumId w:val="26"/>
  </w:num>
  <w:num w:numId="27" w16cid:durableId="560018265">
    <w:abstractNumId w:val="0"/>
  </w:num>
  <w:num w:numId="28" w16cid:durableId="1654141983">
    <w:abstractNumId w:val="21"/>
  </w:num>
  <w:num w:numId="29" w16cid:durableId="589899132">
    <w:abstractNumId w:val="18"/>
  </w:num>
  <w:num w:numId="30" w16cid:durableId="1263218679">
    <w:abstractNumId w:val="9"/>
  </w:num>
  <w:num w:numId="31" w16cid:durableId="1684093013">
    <w:abstractNumId w:val="22"/>
  </w:num>
  <w:num w:numId="32" w16cid:durableId="37042569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BA"/>
    <w:rsid w:val="00001244"/>
    <w:rsid w:val="000036DA"/>
    <w:rsid w:val="00003E7F"/>
    <w:rsid w:val="00005E87"/>
    <w:rsid w:val="00006688"/>
    <w:rsid w:val="0000670E"/>
    <w:rsid w:val="000071C4"/>
    <w:rsid w:val="00007307"/>
    <w:rsid w:val="0001108D"/>
    <w:rsid w:val="00011BDC"/>
    <w:rsid w:val="00011E4E"/>
    <w:rsid w:val="00015321"/>
    <w:rsid w:val="00016E6E"/>
    <w:rsid w:val="000202AE"/>
    <w:rsid w:val="00021CE8"/>
    <w:rsid w:val="00022980"/>
    <w:rsid w:val="00025485"/>
    <w:rsid w:val="00026CB2"/>
    <w:rsid w:val="00027326"/>
    <w:rsid w:val="00027ED6"/>
    <w:rsid w:val="00027FF1"/>
    <w:rsid w:val="000308BB"/>
    <w:rsid w:val="0003129A"/>
    <w:rsid w:val="00033489"/>
    <w:rsid w:val="0003375A"/>
    <w:rsid w:val="0003566E"/>
    <w:rsid w:val="00036AEB"/>
    <w:rsid w:val="000370A4"/>
    <w:rsid w:val="000371DB"/>
    <w:rsid w:val="0003754B"/>
    <w:rsid w:val="00040727"/>
    <w:rsid w:val="0004311A"/>
    <w:rsid w:val="0004366E"/>
    <w:rsid w:val="000450C2"/>
    <w:rsid w:val="0004597C"/>
    <w:rsid w:val="00045DA2"/>
    <w:rsid w:val="00047C7B"/>
    <w:rsid w:val="000500D7"/>
    <w:rsid w:val="00050E5C"/>
    <w:rsid w:val="000512F4"/>
    <w:rsid w:val="00051F97"/>
    <w:rsid w:val="00052507"/>
    <w:rsid w:val="00054053"/>
    <w:rsid w:val="000572B9"/>
    <w:rsid w:val="00060352"/>
    <w:rsid w:val="000606D7"/>
    <w:rsid w:val="000612BE"/>
    <w:rsid w:val="000616A7"/>
    <w:rsid w:val="00062D8F"/>
    <w:rsid w:val="0006368E"/>
    <w:rsid w:val="0006397D"/>
    <w:rsid w:val="00066005"/>
    <w:rsid w:val="000669FA"/>
    <w:rsid w:val="00074243"/>
    <w:rsid w:val="000748D7"/>
    <w:rsid w:val="000756DC"/>
    <w:rsid w:val="00075DDB"/>
    <w:rsid w:val="00076FF9"/>
    <w:rsid w:val="000770A6"/>
    <w:rsid w:val="00077A3B"/>
    <w:rsid w:val="00077D21"/>
    <w:rsid w:val="00077F38"/>
    <w:rsid w:val="000802B8"/>
    <w:rsid w:val="000808C6"/>
    <w:rsid w:val="00084FAE"/>
    <w:rsid w:val="000866A0"/>
    <w:rsid w:val="00086AAE"/>
    <w:rsid w:val="00092BBC"/>
    <w:rsid w:val="000944D7"/>
    <w:rsid w:val="00095DC5"/>
    <w:rsid w:val="000978B2"/>
    <w:rsid w:val="00097AB1"/>
    <w:rsid w:val="000A0FDB"/>
    <w:rsid w:val="000A1361"/>
    <w:rsid w:val="000A1B32"/>
    <w:rsid w:val="000A2BB9"/>
    <w:rsid w:val="000A3937"/>
    <w:rsid w:val="000A5067"/>
    <w:rsid w:val="000A6191"/>
    <w:rsid w:val="000B1302"/>
    <w:rsid w:val="000B2B90"/>
    <w:rsid w:val="000B4440"/>
    <w:rsid w:val="000B4E13"/>
    <w:rsid w:val="000B4E9D"/>
    <w:rsid w:val="000B51F9"/>
    <w:rsid w:val="000B7472"/>
    <w:rsid w:val="000B7AF9"/>
    <w:rsid w:val="000B7BCB"/>
    <w:rsid w:val="000C0136"/>
    <w:rsid w:val="000C0E3C"/>
    <w:rsid w:val="000C1196"/>
    <w:rsid w:val="000C19BE"/>
    <w:rsid w:val="000C1E34"/>
    <w:rsid w:val="000C23B4"/>
    <w:rsid w:val="000C3801"/>
    <w:rsid w:val="000C3853"/>
    <w:rsid w:val="000C4077"/>
    <w:rsid w:val="000C417F"/>
    <w:rsid w:val="000C531E"/>
    <w:rsid w:val="000C56C0"/>
    <w:rsid w:val="000C7324"/>
    <w:rsid w:val="000C7ED6"/>
    <w:rsid w:val="000D326A"/>
    <w:rsid w:val="000D3CD7"/>
    <w:rsid w:val="000D57A4"/>
    <w:rsid w:val="000D69CC"/>
    <w:rsid w:val="000D76C1"/>
    <w:rsid w:val="000E0A31"/>
    <w:rsid w:val="000E293B"/>
    <w:rsid w:val="000E2A04"/>
    <w:rsid w:val="000E2A93"/>
    <w:rsid w:val="000E2C74"/>
    <w:rsid w:val="000E3EFD"/>
    <w:rsid w:val="000E4D9F"/>
    <w:rsid w:val="000E4F84"/>
    <w:rsid w:val="000E5761"/>
    <w:rsid w:val="000E70DF"/>
    <w:rsid w:val="000F088A"/>
    <w:rsid w:val="000F19FD"/>
    <w:rsid w:val="000F4B1F"/>
    <w:rsid w:val="000F4B88"/>
    <w:rsid w:val="000F55CC"/>
    <w:rsid w:val="000F5B26"/>
    <w:rsid w:val="000F6A19"/>
    <w:rsid w:val="000F75FE"/>
    <w:rsid w:val="00100233"/>
    <w:rsid w:val="001015D4"/>
    <w:rsid w:val="001016B1"/>
    <w:rsid w:val="00101ECE"/>
    <w:rsid w:val="001036E6"/>
    <w:rsid w:val="00104AB5"/>
    <w:rsid w:val="00106D4D"/>
    <w:rsid w:val="001071CA"/>
    <w:rsid w:val="00110486"/>
    <w:rsid w:val="00110B82"/>
    <w:rsid w:val="0011222A"/>
    <w:rsid w:val="00117176"/>
    <w:rsid w:val="00117C58"/>
    <w:rsid w:val="00122FBD"/>
    <w:rsid w:val="00123EF2"/>
    <w:rsid w:val="00125E35"/>
    <w:rsid w:val="00127495"/>
    <w:rsid w:val="001279C8"/>
    <w:rsid w:val="00127B31"/>
    <w:rsid w:val="00127FFE"/>
    <w:rsid w:val="00131714"/>
    <w:rsid w:val="00132317"/>
    <w:rsid w:val="0013289B"/>
    <w:rsid w:val="00134489"/>
    <w:rsid w:val="0013799E"/>
    <w:rsid w:val="00137ACE"/>
    <w:rsid w:val="001402BF"/>
    <w:rsid w:val="00141AAE"/>
    <w:rsid w:val="00143657"/>
    <w:rsid w:val="00144C11"/>
    <w:rsid w:val="00145516"/>
    <w:rsid w:val="001456E7"/>
    <w:rsid w:val="00147570"/>
    <w:rsid w:val="00147BFB"/>
    <w:rsid w:val="00153700"/>
    <w:rsid w:val="00156136"/>
    <w:rsid w:val="00156B40"/>
    <w:rsid w:val="00156CAE"/>
    <w:rsid w:val="00157AC7"/>
    <w:rsid w:val="00160909"/>
    <w:rsid w:val="00160EE3"/>
    <w:rsid w:val="0016233D"/>
    <w:rsid w:val="00162AFD"/>
    <w:rsid w:val="00162C75"/>
    <w:rsid w:val="00162E7C"/>
    <w:rsid w:val="00163212"/>
    <w:rsid w:val="00163D66"/>
    <w:rsid w:val="001643A4"/>
    <w:rsid w:val="001649F6"/>
    <w:rsid w:val="00167A02"/>
    <w:rsid w:val="001709F1"/>
    <w:rsid w:val="00171412"/>
    <w:rsid w:val="001720F9"/>
    <w:rsid w:val="001726CE"/>
    <w:rsid w:val="0017279D"/>
    <w:rsid w:val="00172D25"/>
    <w:rsid w:val="001759D6"/>
    <w:rsid w:val="00176043"/>
    <w:rsid w:val="00176F4F"/>
    <w:rsid w:val="0017732A"/>
    <w:rsid w:val="001806E9"/>
    <w:rsid w:val="00180E35"/>
    <w:rsid w:val="001819DD"/>
    <w:rsid w:val="00183B86"/>
    <w:rsid w:val="00183F43"/>
    <w:rsid w:val="00186BA3"/>
    <w:rsid w:val="00186C48"/>
    <w:rsid w:val="00190653"/>
    <w:rsid w:val="001906B8"/>
    <w:rsid w:val="0019075C"/>
    <w:rsid w:val="001929D3"/>
    <w:rsid w:val="00193839"/>
    <w:rsid w:val="00194724"/>
    <w:rsid w:val="0019643C"/>
    <w:rsid w:val="001A08BA"/>
    <w:rsid w:val="001A29CF"/>
    <w:rsid w:val="001A2D9E"/>
    <w:rsid w:val="001A344D"/>
    <w:rsid w:val="001A3BFF"/>
    <w:rsid w:val="001A4CCA"/>
    <w:rsid w:val="001A4CD0"/>
    <w:rsid w:val="001A5804"/>
    <w:rsid w:val="001A6180"/>
    <w:rsid w:val="001B0AC5"/>
    <w:rsid w:val="001B1B71"/>
    <w:rsid w:val="001B4B09"/>
    <w:rsid w:val="001B76D0"/>
    <w:rsid w:val="001C083E"/>
    <w:rsid w:val="001C1F57"/>
    <w:rsid w:val="001C3987"/>
    <w:rsid w:val="001C4CB9"/>
    <w:rsid w:val="001C59F3"/>
    <w:rsid w:val="001C6062"/>
    <w:rsid w:val="001C6485"/>
    <w:rsid w:val="001C7088"/>
    <w:rsid w:val="001C7AB6"/>
    <w:rsid w:val="001D032D"/>
    <w:rsid w:val="001D10EB"/>
    <w:rsid w:val="001D1454"/>
    <w:rsid w:val="001D2109"/>
    <w:rsid w:val="001D25BB"/>
    <w:rsid w:val="001D3F59"/>
    <w:rsid w:val="001D4A1B"/>
    <w:rsid w:val="001D5654"/>
    <w:rsid w:val="001D58C2"/>
    <w:rsid w:val="001D623A"/>
    <w:rsid w:val="001E0B3F"/>
    <w:rsid w:val="001E3982"/>
    <w:rsid w:val="001E44DA"/>
    <w:rsid w:val="001E4E63"/>
    <w:rsid w:val="001E575F"/>
    <w:rsid w:val="001E6152"/>
    <w:rsid w:val="001E7A73"/>
    <w:rsid w:val="001F122E"/>
    <w:rsid w:val="001F317B"/>
    <w:rsid w:val="001F3200"/>
    <w:rsid w:val="001F4E0D"/>
    <w:rsid w:val="001F53D7"/>
    <w:rsid w:val="001F59CD"/>
    <w:rsid w:val="001F7976"/>
    <w:rsid w:val="00200FB6"/>
    <w:rsid w:val="00201C26"/>
    <w:rsid w:val="00203F26"/>
    <w:rsid w:val="00210AD5"/>
    <w:rsid w:val="00210FE7"/>
    <w:rsid w:val="00211432"/>
    <w:rsid w:val="002154BD"/>
    <w:rsid w:val="00215BE6"/>
    <w:rsid w:val="0022239D"/>
    <w:rsid w:val="0022356C"/>
    <w:rsid w:val="00224734"/>
    <w:rsid w:val="002272EF"/>
    <w:rsid w:val="0023096E"/>
    <w:rsid w:val="002327E8"/>
    <w:rsid w:val="00232B46"/>
    <w:rsid w:val="00236E05"/>
    <w:rsid w:val="0023782A"/>
    <w:rsid w:val="00237A33"/>
    <w:rsid w:val="00242F9D"/>
    <w:rsid w:val="0024394E"/>
    <w:rsid w:val="00244AB0"/>
    <w:rsid w:val="00244F51"/>
    <w:rsid w:val="00245DD6"/>
    <w:rsid w:val="002460EF"/>
    <w:rsid w:val="0024630F"/>
    <w:rsid w:val="00246581"/>
    <w:rsid w:val="00246EF3"/>
    <w:rsid w:val="002477A2"/>
    <w:rsid w:val="002479FF"/>
    <w:rsid w:val="00247C0E"/>
    <w:rsid w:val="00251138"/>
    <w:rsid w:val="00251DDE"/>
    <w:rsid w:val="00251E58"/>
    <w:rsid w:val="00253777"/>
    <w:rsid w:val="0025389B"/>
    <w:rsid w:val="00254B15"/>
    <w:rsid w:val="00256BC5"/>
    <w:rsid w:val="002577C6"/>
    <w:rsid w:val="00257AF7"/>
    <w:rsid w:val="00260FD8"/>
    <w:rsid w:val="0026123D"/>
    <w:rsid w:val="00262AF3"/>
    <w:rsid w:val="00264200"/>
    <w:rsid w:val="00264867"/>
    <w:rsid w:val="00267F50"/>
    <w:rsid w:val="0027087C"/>
    <w:rsid w:val="00270B24"/>
    <w:rsid w:val="002716AD"/>
    <w:rsid w:val="00273FF9"/>
    <w:rsid w:val="002750FD"/>
    <w:rsid w:val="002753DD"/>
    <w:rsid w:val="002755C1"/>
    <w:rsid w:val="0027567B"/>
    <w:rsid w:val="00275B5F"/>
    <w:rsid w:val="00277D3A"/>
    <w:rsid w:val="00277ECC"/>
    <w:rsid w:val="00277F81"/>
    <w:rsid w:val="00282EDB"/>
    <w:rsid w:val="0028350B"/>
    <w:rsid w:val="00284813"/>
    <w:rsid w:val="00285F2C"/>
    <w:rsid w:val="002863D3"/>
    <w:rsid w:val="00286B54"/>
    <w:rsid w:val="00286C80"/>
    <w:rsid w:val="00286CF1"/>
    <w:rsid w:val="00286F9F"/>
    <w:rsid w:val="00287ACB"/>
    <w:rsid w:val="002908E5"/>
    <w:rsid w:val="0029255D"/>
    <w:rsid w:val="00292933"/>
    <w:rsid w:val="00292FE4"/>
    <w:rsid w:val="0029358A"/>
    <w:rsid w:val="00293DC7"/>
    <w:rsid w:val="002944CF"/>
    <w:rsid w:val="002949AF"/>
    <w:rsid w:val="00294BAB"/>
    <w:rsid w:val="00295291"/>
    <w:rsid w:val="002961BE"/>
    <w:rsid w:val="002971A9"/>
    <w:rsid w:val="00297CAA"/>
    <w:rsid w:val="002A1322"/>
    <w:rsid w:val="002A1DEF"/>
    <w:rsid w:val="002A40A9"/>
    <w:rsid w:val="002A5C80"/>
    <w:rsid w:val="002A6124"/>
    <w:rsid w:val="002B7307"/>
    <w:rsid w:val="002C044D"/>
    <w:rsid w:val="002C2040"/>
    <w:rsid w:val="002C27DA"/>
    <w:rsid w:val="002C28D3"/>
    <w:rsid w:val="002C29A6"/>
    <w:rsid w:val="002C2FB5"/>
    <w:rsid w:val="002D02E2"/>
    <w:rsid w:val="002D1447"/>
    <w:rsid w:val="002D3518"/>
    <w:rsid w:val="002D458F"/>
    <w:rsid w:val="002D4664"/>
    <w:rsid w:val="002D467B"/>
    <w:rsid w:val="002D5A57"/>
    <w:rsid w:val="002D5FCD"/>
    <w:rsid w:val="002D6E18"/>
    <w:rsid w:val="002D7038"/>
    <w:rsid w:val="002D70F5"/>
    <w:rsid w:val="002E14F1"/>
    <w:rsid w:val="002E1587"/>
    <w:rsid w:val="002E26EE"/>
    <w:rsid w:val="002E2D64"/>
    <w:rsid w:val="002E525D"/>
    <w:rsid w:val="002E63BB"/>
    <w:rsid w:val="002E7A12"/>
    <w:rsid w:val="002F03A8"/>
    <w:rsid w:val="002F1C55"/>
    <w:rsid w:val="002F26BD"/>
    <w:rsid w:val="002F3695"/>
    <w:rsid w:val="002F3C95"/>
    <w:rsid w:val="002F440D"/>
    <w:rsid w:val="002F569A"/>
    <w:rsid w:val="002F5CF5"/>
    <w:rsid w:val="002F7D15"/>
    <w:rsid w:val="00300BC1"/>
    <w:rsid w:val="0030120E"/>
    <w:rsid w:val="003018AF"/>
    <w:rsid w:val="00302A9C"/>
    <w:rsid w:val="0030473F"/>
    <w:rsid w:val="00307549"/>
    <w:rsid w:val="003104E8"/>
    <w:rsid w:val="003124B6"/>
    <w:rsid w:val="00317F56"/>
    <w:rsid w:val="003203BA"/>
    <w:rsid w:val="00320989"/>
    <w:rsid w:val="0032274D"/>
    <w:rsid w:val="0032291F"/>
    <w:rsid w:val="00323980"/>
    <w:rsid w:val="00323F0E"/>
    <w:rsid w:val="003248C8"/>
    <w:rsid w:val="00325269"/>
    <w:rsid w:val="00326589"/>
    <w:rsid w:val="00330222"/>
    <w:rsid w:val="0033026E"/>
    <w:rsid w:val="00332F04"/>
    <w:rsid w:val="00334501"/>
    <w:rsid w:val="00334650"/>
    <w:rsid w:val="003359E3"/>
    <w:rsid w:val="0033610E"/>
    <w:rsid w:val="0033640B"/>
    <w:rsid w:val="003365CD"/>
    <w:rsid w:val="003372AF"/>
    <w:rsid w:val="00340ED0"/>
    <w:rsid w:val="003416F0"/>
    <w:rsid w:val="003419F4"/>
    <w:rsid w:val="00343B82"/>
    <w:rsid w:val="00343D2B"/>
    <w:rsid w:val="003441D6"/>
    <w:rsid w:val="003443E4"/>
    <w:rsid w:val="0034522A"/>
    <w:rsid w:val="00345A26"/>
    <w:rsid w:val="003469C1"/>
    <w:rsid w:val="00347FDA"/>
    <w:rsid w:val="0035032C"/>
    <w:rsid w:val="00350751"/>
    <w:rsid w:val="00350FB2"/>
    <w:rsid w:val="00351CC7"/>
    <w:rsid w:val="003522EA"/>
    <w:rsid w:val="003524D5"/>
    <w:rsid w:val="00353771"/>
    <w:rsid w:val="0035506C"/>
    <w:rsid w:val="0035786F"/>
    <w:rsid w:val="00364D60"/>
    <w:rsid w:val="003654B4"/>
    <w:rsid w:val="00366425"/>
    <w:rsid w:val="003700EA"/>
    <w:rsid w:val="003701E7"/>
    <w:rsid w:val="0037055F"/>
    <w:rsid w:val="00370F4F"/>
    <w:rsid w:val="003725F6"/>
    <w:rsid w:val="003753B5"/>
    <w:rsid w:val="0037540C"/>
    <w:rsid w:val="00376190"/>
    <w:rsid w:val="00381053"/>
    <w:rsid w:val="00381589"/>
    <w:rsid w:val="0038228B"/>
    <w:rsid w:val="00384267"/>
    <w:rsid w:val="0038562A"/>
    <w:rsid w:val="003859B8"/>
    <w:rsid w:val="00387682"/>
    <w:rsid w:val="003914D1"/>
    <w:rsid w:val="003922CF"/>
    <w:rsid w:val="003944A0"/>
    <w:rsid w:val="00397AB8"/>
    <w:rsid w:val="003A06BB"/>
    <w:rsid w:val="003A134D"/>
    <w:rsid w:val="003A1D2F"/>
    <w:rsid w:val="003A42C3"/>
    <w:rsid w:val="003A5EDC"/>
    <w:rsid w:val="003A67AE"/>
    <w:rsid w:val="003A6D95"/>
    <w:rsid w:val="003A7009"/>
    <w:rsid w:val="003A705E"/>
    <w:rsid w:val="003B22A5"/>
    <w:rsid w:val="003B3FCA"/>
    <w:rsid w:val="003B5D14"/>
    <w:rsid w:val="003B628A"/>
    <w:rsid w:val="003C076F"/>
    <w:rsid w:val="003C0C73"/>
    <w:rsid w:val="003C2DAD"/>
    <w:rsid w:val="003C3436"/>
    <w:rsid w:val="003C5B3D"/>
    <w:rsid w:val="003C6B05"/>
    <w:rsid w:val="003C6C50"/>
    <w:rsid w:val="003C77E6"/>
    <w:rsid w:val="003C790E"/>
    <w:rsid w:val="003D1A85"/>
    <w:rsid w:val="003D3A7B"/>
    <w:rsid w:val="003D4173"/>
    <w:rsid w:val="003D589E"/>
    <w:rsid w:val="003D6279"/>
    <w:rsid w:val="003D6466"/>
    <w:rsid w:val="003D6AA3"/>
    <w:rsid w:val="003D6B12"/>
    <w:rsid w:val="003D6EA3"/>
    <w:rsid w:val="003D7B39"/>
    <w:rsid w:val="003D7F06"/>
    <w:rsid w:val="003E0F5E"/>
    <w:rsid w:val="003E1810"/>
    <w:rsid w:val="003E211A"/>
    <w:rsid w:val="003E6630"/>
    <w:rsid w:val="003E6F8A"/>
    <w:rsid w:val="003E76F9"/>
    <w:rsid w:val="003E79A0"/>
    <w:rsid w:val="003E7D7C"/>
    <w:rsid w:val="003F03F9"/>
    <w:rsid w:val="003F107D"/>
    <w:rsid w:val="003F158B"/>
    <w:rsid w:val="003F172B"/>
    <w:rsid w:val="003F1D5E"/>
    <w:rsid w:val="003F1F2E"/>
    <w:rsid w:val="003F2030"/>
    <w:rsid w:val="003F23C1"/>
    <w:rsid w:val="003F32E4"/>
    <w:rsid w:val="003F4094"/>
    <w:rsid w:val="003F41FF"/>
    <w:rsid w:val="003F73A1"/>
    <w:rsid w:val="00400976"/>
    <w:rsid w:val="00400C63"/>
    <w:rsid w:val="00405141"/>
    <w:rsid w:val="00405289"/>
    <w:rsid w:val="0040646F"/>
    <w:rsid w:val="004102D0"/>
    <w:rsid w:val="00411FA5"/>
    <w:rsid w:val="00413C05"/>
    <w:rsid w:val="00414E8D"/>
    <w:rsid w:val="004157C7"/>
    <w:rsid w:val="00416062"/>
    <w:rsid w:val="004167EB"/>
    <w:rsid w:val="004207A1"/>
    <w:rsid w:val="00420A50"/>
    <w:rsid w:val="004216A6"/>
    <w:rsid w:val="00422582"/>
    <w:rsid w:val="00423074"/>
    <w:rsid w:val="00423F55"/>
    <w:rsid w:val="004243F2"/>
    <w:rsid w:val="00426C22"/>
    <w:rsid w:val="00426E2D"/>
    <w:rsid w:val="004272A2"/>
    <w:rsid w:val="0042790A"/>
    <w:rsid w:val="00431D80"/>
    <w:rsid w:val="0043249F"/>
    <w:rsid w:val="00433072"/>
    <w:rsid w:val="00434771"/>
    <w:rsid w:val="00435409"/>
    <w:rsid w:val="00436A19"/>
    <w:rsid w:val="00436FFE"/>
    <w:rsid w:val="004375FB"/>
    <w:rsid w:val="0043768E"/>
    <w:rsid w:val="00437873"/>
    <w:rsid w:val="0043792D"/>
    <w:rsid w:val="00440EF4"/>
    <w:rsid w:val="00441343"/>
    <w:rsid w:val="00441A84"/>
    <w:rsid w:val="00441C18"/>
    <w:rsid w:val="00441D4E"/>
    <w:rsid w:val="00442A6E"/>
    <w:rsid w:val="00444D74"/>
    <w:rsid w:val="0044504A"/>
    <w:rsid w:val="00445050"/>
    <w:rsid w:val="00445CDB"/>
    <w:rsid w:val="004479B1"/>
    <w:rsid w:val="00450D57"/>
    <w:rsid w:val="004510A4"/>
    <w:rsid w:val="004536D5"/>
    <w:rsid w:val="00453DEA"/>
    <w:rsid w:val="00455154"/>
    <w:rsid w:val="00455E80"/>
    <w:rsid w:val="00456F76"/>
    <w:rsid w:val="00457534"/>
    <w:rsid w:val="00462078"/>
    <w:rsid w:val="00462751"/>
    <w:rsid w:val="004643D2"/>
    <w:rsid w:val="00464906"/>
    <w:rsid w:val="00464C08"/>
    <w:rsid w:val="004653C8"/>
    <w:rsid w:val="00465418"/>
    <w:rsid w:val="00466675"/>
    <w:rsid w:val="00466A70"/>
    <w:rsid w:val="00466BB7"/>
    <w:rsid w:val="0046702D"/>
    <w:rsid w:val="00467392"/>
    <w:rsid w:val="0046753E"/>
    <w:rsid w:val="00474817"/>
    <w:rsid w:val="00475BC1"/>
    <w:rsid w:val="00476D34"/>
    <w:rsid w:val="00477F73"/>
    <w:rsid w:val="00480BF4"/>
    <w:rsid w:val="00480C23"/>
    <w:rsid w:val="00480DCB"/>
    <w:rsid w:val="0048367B"/>
    <w:rsid w:val="00483DA2"/>
    <w:rsid w:val="00484DC8"/>
    <w:rsid w:val="00490D0C"/>
    <w:rsid w:val="004919CD"/>
    <w:rsid w:val="0049202F"/>
    <w:rsid w:val="00492F4C"/>
    <w:rsid w:val="00493073"/>
    <w:rsid w:val="00493213"/>
    <w:rsid w:val="00493BE0"/>
    <w:rsid w:val="00493DC4"/>
    <w:rsid w:val="00495328"/>
    <w:rsid w:val="004956E0"/>
    <w:rsid w:val="00495A0B"/>
    <w:rsid w:val="004964A6"/>
    <w:rsid w:val="004967F0"/>
    <w:rsid w:val="00497D4F"/>
    <w:rsid w:val="004A1F1A"/>
    <w:rsid w:val="004A2A5F"/>
    <w:rsid w:val="004A5969"/>
    <w:rsid w:val="004A7BD0"/>
    <w:rsid w:val="004B03A4"/>
    <w:rsid w:val="004B0DD7"/>
    <w:rsid w:val="004B11C4"/>
    <w:rsid w:val="004B3313"/>
    <w:rsid w:val="004B38FF"/>
    <w:rsid w:val="004B3D2A"/>
    <w:rsid w:val="004B4175"/>
    <w:rsid w:val="004B511E"/>
    <w:rsid w:val="004B6709"/>
    <w:rsid w:val="004B6CF1"/>
    <w:rsid w:val="004B6D09"/>
    <w:rsid w:val="004C14FE"/>
    <w:rsid w:val="004C1C44"/>
    <w:rsid w:val="004C3033"/>
    <w:rsid w:val="004C3117"/>
    <w:rsid w:val="004C3D23"/>
    <w:rsid w:val="004C3EAC"/>
    <w:rsid w:val="004C4512"/>
    <w:rsid w:val="004C5F65"/>
    <w:rsid w:val="004C7DF0"/>
    <w:rsid w:val="004D11F1"/>
    <w:rsid w:val="004D191B"/>
    <w:rsid w:val="004D2223"/>
    <w:rsid w:val="004D64DB"/>
    <w:rsid w:val="004D6787"/>
    <w:rsid w:val="004E17B5"/>
    <w:rsid w:val="004E1C45"/>
    <w:rsid w:val="004E2060"/>
    <w:rsid w:val="004E3851"/>
    <w:rsid w:val="004E73C5"/>
    <w:rsid w:val="004E790F"/>
    <w:rsid w:val="004F033E"/>
    <w:rsid w:val="004F18B9"/>
    <w:rsid w:val="004F280B"/>
    <w:rsid w:val="004F3A83"/>
    <w:rsid w:val="004F6C76"/>
    <w:rsid w:val="004F6C99"/>
    <w:rsid w:val="004F78EE"/>
    <w:rsid w:val="004F7E8A"/>
    <w:rsid w:val="00500CD3"/>
    <w:rsid w:val="00502B06"/>
    <w:rsid w:val="00502E4E"/>
    <w:rsid w:val="00504B31"/>
    <w:rsid w:val="00507BF0"/>
    <w:rsid w:val="00510954"/>
    <w:rsid w:val="00510D08"/>
    <w:rsid w:val="00510D9D"/>
    <w:rsid w:val="005117B0"/>
    <w:rsid w:val="00512405"/>
    <w:rsid w:val="005128D4"/>
    <w:rsid w:val="00513BC5"/>
    <w:rsid w:val="00514E9B"/>
    <w:rsid w:val="005225E8"/>
    <w:rsid w:val="00523B85"/>
    <w:rsid w:val="00523DDD"/>
    <w:rsid w:val="00524733"/>
    <w:rsid w:val="00524ACF"/>
    <w:rsid w:val="00526354"/>
    <w:rsid w:val="0052796F"/>
    <w:rsid w:val="00530A8F"/>
    <w:rsid w:val="0053252F"/>
    <w:rsid w:val="00532F33"/>
    <w:rsid w:val="00534C90"/>
    <w:rsid w:val="00535D29"/>
    <w:rsid w:val="00535F2D"/>
    <w:rsid w:val="00536DD3"/>
    <w:rsid w:val="00541202"/>
    <w:rsid w:val="005414A8"/>
    <w:rsid w:val="005415AE"/>
    <w:rsid w:val="005433E9"/>
    <w:rsid w:val="005445D5"/>
    <w:rsid w:val="00545316"/>
    <w:rsid w:val="005460F6"/>
    <w:rsid w:val="005463C9"/>
    <w:rsid w:val="00546E4E"/>
    <w:rsid w:val="00551F3C"/>
    <w:rsid w:val="00552ACF"/>
    <w:rsid w:val="00552BD0"/>
    <w:rsid w:val="00555B69"/>
    <w:rsid w:val="00555CAE"/>
    <w:rsid w:val="0056619C"/>
    <w:rsid w:val="00570397"/>
    <w:rsid w:val="00570E15"/>
    <w:rsid w:val="005753F3"/>
    <w:rsid w:val="00576670"/>
    <w:rsid w:val="005825E5"/>
    <w:rsid w:val="00582C22"/>
    <w:rsid w:val="00583AA6"/>
    <w:rsid w:val="00583F2F"/>
    <w:rsid w:val="005841C7"/>
    <w:rsid w:val="00585134"/>
    <w:rsid w:val="0058636F"/>
    <w:rsid w:val="005867CA"/>
    <w:rsid w:val="00587A0F"/>
    <w:rsid w:val="0059000D"/>
    <w:rsid w:val="005905CB"/>
    <w:rsid w:val="00590FEC"/>
    <w:rsid w:val="00593771"/>
    <w:rsid w:val="00593DBC"/>
    <w:rsid w:val="00594613"/>
    <w:rsid w:val="00594D3F"/>
    <w:rsid w:val="005963C0"/>
    <w:rsid w:val="00596502"/>
    <w:rsid w:val="005A04D4"/>
    <w:rsid w:val="005A0B95"/>
    <w:rsid w:val="005A3F3C"/>
    <w:rsid w:val="005A44C3"/>
    <w:rsid w:val="005A654E"/>
    <w:rsid w:val="005A6779"/>
    <w:rsid w:val="005A6AFE"/>
    <w:rsid w:val="005B0864"/>
    <w:rsid w:val="005B0A27"/>
    <w:rsid w:val="005B0CA5"/>
    <w:rsid w:val="005B126C"/>
    <w:rsid w:val="005B1A2D"/>
    <w:rsid w:val="005B399D"/>
    <w:rsid w:val="005B3F77"/>
    <w:rsid w:val="005B4EB2"/>
    <w:rsid w:val="005B554A"/>
    <w:rsid w:val="005B55A6"/>
    <w:rsid w:val="005B5CD9"/>
    <w:rsid w:val="005B656E"/>
    <w:rsid w:val="005C0420"/>
    <w:rsid w:val="005C21FF"/>
    <w:rsid w:val="005C2567"/>
    <w:rsid w:val="005C2C9C"/>
    <w:rsid w:val="005D0207"/>
    <w:rsid w:val="005D045C"/>
    <w:rsid w:val="005D14DD"/>
    <w:rsid w:val="005D1BAE"/>
    <w:rsid w:val="005D1E72"/>
    <w:rsid w:val="005D38B1"/>
    <w:rsid w:val="005D76F6"/>
    <w:rsid w:val="005E0C88"/>
    <w:rsid w:val="005E10D1"/>
    <w:rsid w:val="005E20AC"/>
    <w:rsid w:val="005E3EC5"/>
    <w:rsid w:val="005E4369"/>
    <w:rsid w:val="005E59E8"/>
    <w:rsid w:val="005E6971"/>
    <w:rsid w:val="005F0526"/>
    <w:rsid w:val="005F14DF"/>
    <w:rsid w:val="005F1786"/>
    <w:rsid w:val="005F20E9"/>
    <w:rsid w:val="005F4816"/>
    <w:rsid w:val="005F4BDE"/>
    <w:rsid w:val="005F6D6D"/>
    <w:rsid w:val="006005D3"/>
    <w:rsid w:val="00603927"/>
    <w:rsid w:val="00604CC7"/>
    <w:rsid w:val="00604F60"/>
    <w:rsid w:val="00607049"/>
    <w:rsid w:val="00610903"/>
    <w:rsid w:val="006128F9"/>
    <w:rsid w:val="00612BDC"/>
    <w:rsid w:val="00615945"/>
    <w:rsid w:val="00616B23"/>
    <w:rsid w:val="0061795E"/>
    <w:rsid w:val="00617EE7"/>
    <w:rsid w:val="00620D7F"/>
    <w:rsid w:val="006217EB"/>
    <w:rsid w:val="00624CA8"/>
    <w:rsid w:val="00627E53"/>
    <w:rsid w:val="0063042F"/>
    <w:rsid w:val="00633677"/>
    <w:rsid w:val="00635581"/>
    <w:rsid w:val="0063581A"/>
    <w:rsid w:val="00635975"/>
    <w:rsid w:val="006360A6"/>
    <w:rsid w:val="00637945"/>
    <w:rsid w:val="006408C3"/>
    <w:rsid w:val="00643665"/>
    <w:rsid w:val="00643E70"/>
    <w:rsid w:val="006450FF"/>
    <w:rsid w:val="00645238"/>
    <w:rsid w:val="00645CF2"/>
    <w:rsid w:val="0064726F"/>
    <w:rsid w:val="00647E2D"/>
    <w:rsid w:val="006507AC"/>
    <w:rsid w:val="006516C7"/>
    <w:rsid w:val="0065741A"/>
    <w:rsid w:val="00657F2D"/>
    <w:rsid w:val="006601DE"/>
    <w:rsid w:val="00660302"/>
    <w:rsid w:val="00661EB9"/>
    <w:rsid w:val="0066261B"/>
    <w:rsid w:val="006627E6"/>
    <w:rsid w:val="00662EFB"/>
    <w:rsid w:val="00663226"/>
    <w:rsid w:val="00663300"/>
    <w:rsid w:val="00664B75"/>
    <w:rsid w:val="006669A3"/>
    <w:rsid w:val="00671204"/>
    <w:rsid w:val="00671383"/>
    <w:rsid w:val="00672191"/>
    <w:rsid w:val="006733D6"/>
    <w:rsid w:val="00673447"/>
    <w:rsid w:val="00673F0A"/>
    <w:rsid w:val="00674790"/>
    <w:rsid w:val="0067669D"/>
    <w:rsid w:val="006767E6"/>
    <w:rsid w:val="006767EE"/>
    <w:rsid w:val="00676DDC"/>
    <w:rsid w:val="0067721D"/>
    <w:rsid w:val="00677902"/>
    <w:rsid w:val="00680137"/>
    <w:rsid w:val="006804D0"/>
    <w:rsid w:val="006830B1"/>
    <w:rsid w:val="00686620"/>
    <w:rsid w:val="0068784D"/>
    <w:rsid w:val="0069073D"/>
    <w:rsid w:val="00690BCB"/>
    <w:rsid w:val="00691AF2"/>
    <w:rsid w:val="0069225E"/>
    <w:rsid w:val="00692804"/>
    <w:rsid w:val="00693523"/>
    <w:rsid w:val="0069394C"/>
    <w:rsid w:val="00693AE9"/>
    <w:rsid w:val="00693CF3"/>
    <w:rsid w:val="00693F47"/>
    <w:rsid w:val="00695082"/>
    <w:rsid w:val="006969AC"/>
    <w:rsid w:val="00696C2B"/>
    <w:rsid w:val="006A0E03"/>
    <w:rsid w:val="006A1420"/>
    <w:rsid w:val="006A190A"/>
    <w:rsid w:val="006A3781"/>
    <w:rsid w:val="006A3856"/>
    <w:rsid w:val="006A514F"/>
    <w:rsid w:val="006A6BD2"/>
    <w:rsid w:val="006A7B34"/>
    <w:rsid w:val="006B3F62"/>
    <w:rsid w:val="006B3FB3"/>
    <w:rsid w:val="006B46BF"/>
    <w:rsid w:val="006B65BA"/>
    <w:rsid w:val="006B67FB"/>
    <w:rsid w:val="006B7812"/>
    <w:rsid w:val="006C1051"/>
    <w:rsid w:val="006C3439"/>
    <w:rsid w:val="006C3D44"/>
    <w:rsid w:val="006C4510"/>
    <w:rsid w:val="006C5E19"/>
    <w:rsid w:val="006C7B4A"/>
    <w:rsid w:val="006C7E08"/>
    <w:rsid w:val="006C7E8F"/>
    <w:rsid w:val="006D0424"/>
    <w:rsid w:val="006D159A"/>
    <w:rsid w:val="006D315E"/>
    <w:rsid w:val="006D3359"/>
    <w:rsid w:val="006D3995"/>
    <w:rsid w:val="006D3DD6"/>
    <w:rsid w:val="006D3DD9"/>
    <w:rsid w:val="006D4F0F"/>
    <w:rsid w:val="006D64D6"/>
    <w:rsid w:val="006E1208"/>
    <w:rsid w:val="006F0D4A"/>
    <w:rsid w:val="006F106C"/>
    <w:rsid w:val="006F17B6"/>
    <w:rsid w:val="006F18A2"/>
    <w:rsid w:val="006F2202"/>
    <w:rsid w:val="006F5034"/>
    <w:rsid w:val="006F5093"/>
    <w:rsid w:val="006F56D0"/>
    <w:rsid w:val="00702C52"/>
    <w:rsid w:val="00703D1D"/>
    <w:rsid w:val="00704108"/>
    <w:rsid w:val="007048A4"/>
    <w:rsid w:val="00704EA7"/>
    <w:rsid w:val="00705D06"/>
    <w:rsid w:val="007070BE"/>
    <w:rsid w:val="00710E9C"/>
    <w:rsid w:val="00712BAA"/>
    <w:rsid w:val="00720369"/>
    <w:rsid w:val="007203C7"/>
    <w:rsid w:val="007217CD"/>
    <w:rsid w:val="007221B7"/>
    <w:rsid w:val="007235B2"/>
    <w:rsid w:val="00724ADE"/>
    <w:rsid w:val="0072775A"/>
    <w:rsid w:val="0073236C"/>
    <w:rsid w:val="00735961"/>
    <w:rsid w:val="00737422"/>
    <w:rsid w:val="00737E38"/>
    <w:rsid w:val="00740CF6"/>
    <w:rsid w:val="007420A7"/>
    <w:rsid w:val="007440D1"/>
    <w:rsid w:val="007442C2"/>
    <w:rsid w:val="00744DCE"/>
    <w:rsid w:val="00746F03"/>
    <w:rsid w:val="00750260"/>
    <w:rsid w:val="00751952"/>
    <w:rsid w:val="00751A64"/>
    <w:rsid w:val="00752529"/>
    <w:rsid w:val="00752A1E"/>
    <w:rsid w:val="00752B21"/>
    <w:rsid w:val="0075324E"/>
    <w:rsid w:val="00756B89"/>
    <w:rsid w:val="00757460"/>
    <w:rsid w:val="00761B10"/>
    <w:rsid w:val="00762805"/>
    <w:rsid w:val="00762D28"/>
    <w:rsid w:val="00764833"/>
    <w:rsid w:val="007651F4"/>
    <w:rsid w:val="00765C0D"/>
    <w:rsid w:val="00767AC0"/>
    <w:rsid w:val="00767E67"/>
    <w:rsid w:val="00770273"/>
    <w:rsid w:val="00770EAD"/>
    <w:rsid w:val="00773455"/>
    <w:rsid w:val="00776467"/>
    <w:rsid w:val="00776FB0"/>
    <w:rsid w:val="007807C7"/>
    <w:rsid w:val="00781DE9"/>
    <w:rsid w:val="007849AD"/>
    <w:rsid w:val="007859C4"/>
    <w:rsid w:val="00785C7A"/>
    <w:rsid w:val="0078639D"/>
    <w:rsid w:val="00786ECC"/>
    <w:rsid w:val="0078726C"/>
    <w:rsid w:val="00787680"/>
    <w:rsid w:val="00787918"/>
    <w:rsid w:val="007879A5"/>
    <w:rsid w:val="0079037C"/>
    <w:rsid w:val="00791478"/>
    <w:rsid w:val="0079418F"/>
    <w:rsid w:val="00796839"/>
    <w:rsid w:val="00796F6B"/>
    <w:rsid w:val="007A160C"/>
    <w:rsid w:val="007A32D6"/>
    <w:rsid w:val="007A4765"/>
    <w:rsid w:val="007A4D15"/>
    <w:rsid w:val="007A5860"/>
    <w:rsid w:val="007A5A59"/>
    <w:rsid w:val="007A5B0B"/>
    <w:rsid w:val="007B0DAD"/>
    <w:rsid w:val="007B360E"/>
    <w:rsid w:val="007B3FCD"/>
    <w:rsid w:val="007B41ED"/>
    <w:rsid w:val="007B5776"/>
    <w:rsid w:val="007B5C35"/>
    <w:rsid w:val="007C0E3E"/>
    <w:rsid w:val="007C176A"/>
    <w:rsid w:val="007C4449"/>
    <w:rsid w:val="007C4AD6"/>
    <w:rsid w:val="007C4CDB"/>
    <w:rsid w:val="007C7098"/>
    <w:rsid w:val="007C7206"/>
    <w:rsid w:val="007C7B00"/>
    <w:rsid w:val="007C7FEA"/>
    <w:rsid w:val="007D328B"/>
    <w:rsid w:val="007D5E4F"/>
    <w:rsid w:val="007D5EEB"/>
    <w:rsid w:val="007D700B"/>
    <w:rsid w:val="007D7638"/>
    <w:rsid w:val="007D7A74"/>
    <w:rsid w:val="007E0096"/>
    <w:rsid w:val="007E0536"/>
    <w:rsid w:val="007E0AB0"/>
    <w:rsid w:val="007E25D1"/>
    <w:rsid w:val="007E58C4"/>
    <w:rsid w:val="007E68B4"/>
    <w:rsid w:val="007F01E9"/>
    <w:rsid w:val="007F1195"/>
    <w:rsid w:val="007F19EB"/>
    <w:rsid w:val="007F5EF8"/>
    <w:rsid w:val="007F727D"/>
    <w:rsid w:val="007F7285"/>
    <w:rsid w:val="00801083"/>
    <w:rsid w:val="008016E1"/>
    <w:rsid w:val="00804071"/>
    <w:rsid w:val="00807092"/>
    <w:rsid w:val="00807FCB"/>
    <w:rsid w:val="00812D3F"/>
    <w:rsid w:val="00813376"/>
    <w:rsid w:val="008137C4"/>
    <w:rsid w:val="00813891"/>
    <w:rsid w:val="00815D94"/>
    <w:rsid w:val="00817E10"/>
    <w:rsid w:val="008209DB"/>
    <w:rsid w:val="008228E1"/>
    <w:rsid w:val="008268B1"/>
    <w:rsid w:val="00827BCA"/>
    <w:rsid w:val="00830360"/>
    <w:rsid w:val="0083045D"/>
    <w:rsid w:val="00830B35"/>
    <w:rsid w:val="00831353"/>
    <w:rsid w:val="00833E6E"/>
    <w:rsid w:val="00834962"/>
    <w:rsid w:val="00834C04"/>
    <w:rsid w:val="008354B1"/>
    <w:rsid w:val="0083680D"/>
    <w:rsid w:val="008371F2"/>
    <w:rsid w:val="0083755B"/>
    <w:rsid w:val="00840731"/>
    <w:rsid w:val="0084084A"/>
    <w:rsid w:val="00841FB8"/>
    <w:rsid w:val="008420BE"/>
    <w:rsid w:val="008422D0"/>
    <w:rsid w:val="008427AF"/>
    <w:rsid w:val="00843780"/>
    <w:rsid w:val="00843A67"/>
    <w:rsid w:val="008443ED"/>
    <w:rsid w:val="00844B47"/>
    <w:rsid w:val="00844BDE"/>
    <w:rsid w:val="00845254"/>
    <w:rsid w:val="0084538F"/>
    <w:rsid w:val="00853184"/>
    <w:rsid w:val="00853433"/>
    <w:rsid w:val="0085436F"/>
    <w:rsid w:val="0085558D"/>
    <w:rsid w:val="008564E0"/>
    <w:rsid w:val="00856A1D"/>
    <w:rsid w:val="00856F04"/>
    <w:rsid w:val="008622CC"/>
    <w:rsid w:val="008624DF"/>
    <w:rsid w:val="0086536F"/>
    <w:rsid w:val="008667E1"/>
    <w:rsid w:val="008701A6"/>
    <w:rsid w:val="0087130C"/>
    <w:rsid w:val="00873F59"/>
    <w:rsid w:val="00875C06"/>
    <w:rsid w:val="00876AAD"/>
    <w:rsid w:val="008808DF"/>
    <w:rsid w:val="00880C2C"/>
    <w:rsid w:val="00882D13"/>
    <w:rsid w:val="0088393E"/>
    <w:rsid w:val="0088446C"/>
    <w:rsid w:val="008905C3"/>
    <w:rsid w:val="008924F8"/>
    <w:rsid w:val="008939CD"/>
    <w:rsid w:val="00895119"/>
    <w:rsid w:val="0089572A"/>
    <w:rsid w:val="0089643D"/>
    <w:rsid w:val="0089790D"/>
    <w:rsid w:val="008A1698"/>
    <w:rsid w:val="008A16F4"/>
    <w:rsid w:val="008A18A6"/>
    <w:rsid w:val="008B13D3"/>
    <w:rsid w:val="008B2441"/>
    <w:rsid w:val="008B5A02"/>
    <w:rsid w:val="008B65D7"/>
    <w:rsid w:val="008B7896"/>
    <w:rsid w:val="008B7956"/>
    <w:rsid w:val="008B7F46"/>
    <w:rsid w:val="008C0816"/>
    <w:rsid w:val="008C2FEB"/>
    <w:rsid w:val="008C3584"/>
    <w:rsid w:val="008C37C9"/>
    <w:rsid w:val="008C4626"/>
    <w:rsid w:val="008C4874"/>
    <w:rsid w:val="008C48C3"/>
    <w:rsid w:val="008C58CE"/>
    <w:rsid w:val="008C5F9E"/>
    <w:rsid w:val="008C72A7"/>
    <w:rsid w:val="008D0243"/>
    <w:rsid w:val="008D03A4"/>
    <w:rsid w:val="008D28A6"/>
    <w:rsid w:val="008D421F"/>
    <w:rsid w:val="008D45E4"/>
    <w:rsid w:val="008D5E61"/>
    <w:rsid w:val="008E0D40"/>
    <w:rsid w:val="008E1445"/>
    <w:rsid w:val="008E1F6C"/>
    <w:rsid w:val="008E2C08"/>
    <w:rsid w:val="008E3C44"/>
    <w:rsid w:val="008E4375"/>
    <w:rsid w:val="008E5016"/>
    <w:rsid w:val="008E5CE8"/>
    <w:rsid w:val="008E69C2"/>
    <w:rsid w:val="008F04A0"/>
    <w:rsid w:val="008F102B"/>
    <w:rsid w:val="008F1A32"/>
    <w:rsid w:val="008F34FB"/>
    <w:rsid w:val="008F3708"/>
    <w:rsid w:val="008F4FBA"/>
    <w:rsid w:val="008F504A"/>
    <w:rsid w:val="008F6A50"/>
    <w:rsid w:val="008F7404"/>
    <w:rsid w:val="008F741D"/>
    <w:rsid w:val="009006B6"/>
    <w:rsid w:val="00901B94"/>
    <w:rsid w:val="00901BAB"/>
    <w:rsid w:val="00905ACC"/>
    <w:rsid w:val="00906074"/>
    <w:rsid w:val="009079D2"/>
    <w:rsid w:val="00907A52"/>
    <w:rsid w:val="009101C6"/>
    <w:rsid w:val="009108DE"/>
    <w:rsid w:val="00913A8C"/>
    <w:rsid w:val="00914BD0"/>
    <w:rsid w:val="0091515D"/>
    <w:rsid w:val="00915CF5"/>
    <w:rsid w:val="00915F3B"/>
    <w:rsid w:val="009166AD"/>
    <w:rsid w:val="009166C7"/>
    <w:rsid w:val="0091799C"/>
    <w:rsid w:val="00921455"/>
    <w:rsid w:val="00921BF4"/>
    <w:rsid w:val="00921D09"/>
    <w:rsid w:val="009245AB"/>
    <w:rsid w:val="0092657A"/>
    <w:rsid w:val="00930631"/>
    <w:rsid w:val="009334AC"/>
    <w:rsid w:val="00933876"/>
    <w:rsid w:val="00933FBB"/>
    <w:rsid w:val="00934393"/>
    <w:rsid w:val="00934CD8"/>
    <w:rsid w:val="009367E6"/>
    <w:rsid w:val="009372E2"/>
    <w:rsid w:val="00940D47"/>
    <w:rsid w:val="00942053"/>
    <w:rsid w:val="00942AEA"/>
    <w:rsid w:val="00944671"/>
    <w:rsid w:val="0094519C"/>
    <w:rsid w:val="00945FBC"/>
    <w:rsid w:val="009472CF"/>
    <w:rsid w:val="009473B8"/>
    <w:rsid w:val="00954239"/>
    <w:rsid w:val="009545A8"/>
    <w:rsid w:val="0096057A"/>
    <w:rsid w:val="00961094"/>
    <w:rsid w:val="009625E7"/>
    <w:rsid w:val="00963195"/>
    <w:rsid w:val="0096356E"/>
    <w:rsid w:val="0096452A"/>
    <w:rsid w:val="0096692D"/>
    <w:rsid w:val="00966E85"/>
    <w:rsid w:val="009670C6"/>
    <w:rsid w:val="00970644"/>
    <w:rsid w:val="009707A5"/>
    <w:rsid w:val="00973175"/>
    <w:rsid w:val="00975077"/>
    <w:rsid w:val="0098050E"/>
    <w:rsid w:val="0098077D"/>
    <w:rsid w:val="00981C21"/>
    <w:rsid w:val="0098213D"/>
    <w:rsid w:val="00984344"/>
    <w:rsid w:val="00985887"/>
    <w:rsid w:val="009859BC"/>
    <w:rsid w:val="00986564"/>
    <w:rsid w:val="00986709"/>
    <w:rsid w:val="00986750"/>
    <w:rsid w:val="00986EDF"/>
    <w:rsid w:val="00990C89"/>
    <w:rsid w:val="0099317B"/>
    <w:rsid w:val="009935A1"/>
    <w:rsid w:val="00996285"/>
    <w:rsid w:val="009965F7"/>
    <w:rsid w:val="00997D4C"/>
    <w:rsid w:val="009A03BB"/>
    <w:rsid w:val="009A1572"/>
    <w:rsid w:val="009A30BD"/>
    <w:rsid w:val="009A39EF"/>
    <w:rsid w:val="009A3FC4"/>
    <w:rsid w:val="009A70DD"/>
    <w:rsid w:val="009A7EAD"/>
    <w:rsid w:val="009B1096"/>
    <w:rsid w:val="009B1CE2"/>
    <w:rsid w:val="009B1D52"/>
    <w:rsid w:val="009B2E9B"/>
    <w:rsid w:val="009B3353"/>
    <w:rsid w:val="009B3CE5"/>
    <w:rsid w:val="009B4D56"/>
    <w:rsid w:val="009B4DE4"/>
    <w:rsid w:val="009B4EE3"/>
    <w:rsid w:val="009B5AFE"/>
    <w:rsid w:val="009B70F5"/>
    <w:rsid w:val="009C0074"/>
    <w:rsid w:val="009C03BC"/>
    <w:rsid w:val="009C1B2E"/>
    <w:rsid w:val="009C1FA8"/>
    <w:rsid w:val="009C27F4"/>
    <w:rsid w:val="009C3333"/>
    <w:rsid w:val="009C370F"/>
    <w:rsid w:val="009C4786"/>
    <w:rsid w:val="009C50F2"/>
    <w:rsid w:val="009C606A"/>
    <w:rsid w:val="009C66EA"/>
    <w:rsid w:val="009D0426"/>
    <w:rsid w:val="009D1DD8"/>
    <w:rsid w:val="009D2F87"/>
    <w:rsid w:val="009D4942"/>
    <w:rsid w:val="009D5623"/>
    <w:rsid w:val="009D5D60"/>
    <w:rsid w:val="009D6332"/>
    <w:rsid w:val="009D690F"/>
    <w:rsid w:val="009D71A0"/>
    <w:rsid w:val="009E60A4"/>
    <w:rsid w:val="009E717C"/>
    <w:rsid w:val="009F245D"/>
    <w:rsid w:val="009F4320"/>
    <w:rsid w:val="009F5BCC"/>
    <w:rsid w:val="00A003E7"/>
    <w:rsid w:val="00A0098A"/>
    <w:rsid w:val="00A03FF2"/>
    <w:rsid w:val="00A06976"/>
    <w:rsid w:val="00A07F44"/>
    <w:rsid w:val="00A12ADC"/>
    <w:rsid w:val="00A13496"/>
    <w:rsid w:val="00A14FA2"/>
    <w:rsid w:val="00A215FE"/>
    <w:rsid w:val="00A220E4"/>
    <w:rsid w:val="00A23189"/>
    <w:rsid w:val="00A23A2E"/>
    <w:rsid w:val="00A25481"/>
    <w:rsid w:val="00A25A47"/>
    <w:rsid w:val="00A25B18"/>
    <w:rsid w:val="00A27013"/>
    <w:rsid w:val="00A30253"/>
    <w:rsid w:val="00A3065E"/>
    <w:rsid w:val="00A30FB4"/>
    <w:rsid w:val="00A328DD"/>
    <w:rsid w:val="00A3331B"/>
    <w:rsid w:val="00A33CAB"/>
    <w:rsid w:val="00A36F34"/>
    <w:rsid w:val="00A37894"/>
    <w:rsid w:val="00A3791D"/>
    <w:rsid w:val="00A40366"/>
    <w:rsid w:val="00A50F05"/>
    <w:rsid w:val="00A526F3"/>
    <w:rsid w:val="00A5283E"/>
    <w:rsid w:val="00A52C1D"/>
    <w:rsid w:val="00A53B2F"/>
    <w:rsid w:val="00A54D09"/>
    <w:rsid w:val="00A603DD"/>
    <w:rsid w:val="00A60F93"/>
    <w:rsid w:val="00A62BBA"/>
    <w:rsid w:val="00A6375F"/>
    <w:rsid w:val="00A6397E"/>
    <w:rsid w:val="00A6402F"/>
    <w:rsid w:val="00A6510B"/>
    <w:rsid w:val="00A669C7"/>
    <w:rsid w:val="00A674E2"/>
    <w:rsid w:val="00A706C5"/>
    <w:rsid w:val="00A72CED"/>
    <w:rsid w:val="00A74AB5"/>
    <w:rsid w:val="00A758C5"/>
    <w:rsid w:val="00A77A16"/>
    <w:rsid w:val="00A81B34"/>
    <w:rsid w:val="00A836E3"/>
    <w:rsid w:val="00A84676"/>
    <w:rsid w:val="00A875A2"/>
    <w:rsid w:val="00A90A49"/>
    <w:rsid w:val="00A91AB0"/>
    <w:rsid w:val="00A95B56"/>
    <w:rsid w:val="00A9668D"/>
    <w:rsid w:val="00A96FD9"/>
    <w:rsid w:val="00AA0677"/>
    <w:rsid w:val="00AA7518"/>
    <w:rsid w:val="00AB0346"/>
    <w:rsid w:val="00AB12DE"/>
    <w:rsid w:val="00AB17E2"/>
    <w:rsid w:val="00AB2985"/>
    <w:rsid w:val="00AB5102"/>
    <w:rsid w:val="00AB58EE"/>
    <w:rsid w:val="00AB5BE8"/>
    <w:rsid w:val="00AB7034"/>
    <w:rsid w:val="00AB76DA"/>
    <w:rsid w:val="00AC1C81"/>
    <w:rsid w:val="00AC2621"/>
    <w:rsid w:val="00AC39F2"/>
    <w:rsid w:val="00AC3EFA"/>
    <w:rsid w:val="00AC580D"/>
    <w:rsid w:val="00AD030B"/>
    <w:rsid w:val="00AD04A2"/>
    <w:rsid w:val="00AD0F95"/>
    <w:rsid w:val="00AD1BF4"/>
    <w:rsid w:val="00AD4594"/>
    <w:rsid w:val="00AD6C91"/>
    <w:rsid w:val="00AE22AB"/>
    <w:rsid w:val="00AE329F"/>
    <w:rsid w:val="00AE35DC"/>
    <w:rsid w:val="00AE5E62"/>
    <w:rsid w:val="00AE63FC"/>
    <w:rsid w:val="00AE6A13"/>
    <w:rsid w:val="00AE7C7E"/>
    <w:rsid w:val="00AF0024"/>
    <w:rsid w:val="00AF16B1"/>
    <w:rsid w:val="00AF1A14"/>
    <w:rsid w:val="00AF3413"/>
    <w:rsid w:val="00AF35E1"/>
    <w:rsid w:val="00AF46DC"/>
    <w:rsid w:val="00AF54B3"/>
    <w:rsid w:val="00AF6931"/>
    <w:rsid w:val="00AF7CDE"/>
    <w:rsid w:val="00AF7FE4"/>
    <w:rsid w:val="00B0038B"/>
    <w:rsid w:val="00B00833"/>
    <w:rsid w:val="00B01BB3"/>
    <w:rsid w:val="00B03424"/>
    <w:rsid w:val="00B064D9"/>
    <w:rsid w:val="00B070FD"/>
    <w:rsid w:val="00B114C5"/>
    <w:rsid w:val="00B118B1"/>
    <w:rsid w:val="00B15783"/>
    <w:rsid w:val="00B16989"/>
    <w:rsid w:val="00B21DE3"/>
    <w:rsid w:val="00B25DFF"/>
    <w:rsid w:val="00B25FBC"/>
    <w:rsid w:val="00B26B75"/>
    <w:rsid w:val="00B318A7"/>
    <w:rsid w:val="00B32A77"/>
    <w:rsid w:val="00B33B33"/>
    <w:rsid w:val="00B33CDE"/>
    <w:rsid w:val="00B34231"/>
    <w:rsid w:val="00B3473F"/>
    <w:rsid w:val="00B43482"/>
    <w:rsid w:val="00B46B5C"/>
    <w:rsid w:val="00B46C4B"/>
    <w:rsid w:val="00B50874"/>
    <w:rsid w:val="00B51CF9"/>
    <w:rsid w:val="00B52BB8"/>
    <w:rsid w:val="00B5336A"/>
    <w:rsid w:val="00B5431E"/>
    <w:rsid w:val="00B55DA8"/>
    <w:rsid w:val="00B56339"/>
    <w:rsid w:val="00B57E8E"/>
    <w:rsid w:val="00B60255"/>
    <w:rsid w:val="00B61952"/>
    <w:rsid w:val="00B628C7"/>
    <w:rsid w:val="00B632CB"/>
    <w:rsid w:val="00B634FD"/>
    <w:rsid w:val="00B670F7"/>
    <w:rsid w:val="00B72B63"/>
    <w:rsid w:val="00B73C5C"/>
    <w:rsid w:val="00B73ECF"/>
    <w:rsid w:val="00B75E3E"/>
    <w:rsid w:val="00B76790"/>
    <w:rsid w:val="00B77F8B"/>
    <w:rsid w:val="00B810F2"/>
    <w:rsid w:val="00B811B3"/>
    <w:rsid w:val="00B8209B"/>
    <w:rsid w:val="00B83C11"/>
    <w:rsid w:val="00B8468A"/>
    <w:rsid w:val="00B85CA7"/>
    <w:rsid w:val="00B869EC"/>
    <w:rsid w:val="00B87900"/>
    <w:rsid w:val="00B903EB"/>
    <w:rsid w:val="00B92816"/>
    <w:rsid w:val="00B94AF5"/>
    <w:rsid w:val="00B96252"/>
    <w:rsid w:val="00B96761"/>
    <w:rsid w:val="00B96D5A"/>
    <w:rsid w:val="00B97F21"/>
    <w:rsid w:val="00BA048C"/>
    <w:rsid w:val="00BA1EBF"/>
    <w:rsid w:val="00BA329F"/>
    <w:rsid w:val="00BA3A3D"/>
    <w:rsid w:val="00BA3F28"/>
    <w:rsid w:val="00BA4A9E"/>
    <w:rsid w:val="00BA4AD1"/>
    <w:rsid w:val="00BA5208"/>
    <w:rsid w:val="00BB0D4D"/>
    <w:rsid w:val="00BB25AD"/>
    <w:rsid w:val="00BB2E97"/>
    <w:rsid w:val="00BB33D7"/>
    <w:rsid w:val="00BB3E6C"/>
    <w:rsid w:val="00BB4858"/>
    <w:rsid w:val="00BB496A"/>
    <w:rsid w:val="00BB58B2"/>
    <w:rsid w:val="00BB6111"/>
    <w:rsid w:val="00BB7FCD"/>
    <w:rsid w:val="00BC0594"/>
    <w:rsid w:val="00BC2A95"/>
    <w:rsid w:val="00BC3F01"/>
    <w:rsid w:val="00BC5B41"/>
    <w:rsid w:val="00BC69BA"/>
    <w:rsid w:val="00BC7BE0"/>
    <w:rsid w:val="00BD1989"/>
    <w:rsid w:val="00BD217F"/>
    <w:rsid w:val="00BD2A2C"/>
    <w:rsid w:val="00BD45DB"/>
    <w:rsid w:val="00BD473C"/>
    <w:rsid w:val="00BD5EEF"/>
    <w:rsid w:val="00BD6434"/>
    <w:rsid w:val="00BE17D0"/>
    <w:rsid w:val="00BE21AD"/>
    <w:rsid w:val="00BE27AF"/>
    <w:rsid w:val="00BE37DC"/>
    <w:rsid w:val="00BE3ABC"/>
    <w:rsid w:val="00BE47BF"/>
    <w:rsid w:val="00BE4919"/>
    <w:rsid w:val="00BE5465"/>
    <w:rsid w:val="00BE5D6C"/>
    <w:rsid w:val="00BE60E4"/>
    <w:rsid w:val="00BE67DA"/>
    <w:rsid w:val="00BE7559"/>
    <w:rsid w:val="00BF02F0"/>
    <w:rsid w:val="00BF156E"/>
    <w:rsid w:val="00BF2443"/>
    <w:rsid w:val="00BF4634"/>
    <w:rsid w:val="00BF4B67"/>
    <w:rsid w:val="00BF60AB"/>
    <w:rsid w:val="00BF7035"/>
    <w:rsid w:val="00C00BF5"/>
    <w:rsid w:val="00C00ED2"/>
    <w:rsid w:val="00C020A8"/>
    <w:rsid w:val="00C02AC6"/>
    <w:rsid w:val="00C02FEF"/>
    <w:rsid w:val="00C032C5"/>
    <w:rsid w:val="00C05DF9"/>
    <w:rsid w:val="00C07EB1"/>
    <w:rsid w:val="00C1035F"/>
    <w:rsid w:val="00C138C5"/>
    <w:rsid w:val="00C13C96"/>
    <w:rsid w:val="00C16508"/>
    <w:rsid w:val="00C169F3"/>
    <w:rsid w:val="00C1732D"/>
    <w:rsid w:val="00C1749F"/>
    <w:rsid w:val="00C21351"/>
    <w:rsid w:val="00C25850"/>
    <w:rsid w:val="00C2642D"/>
    <w:rsid w:val="00C2754E"/>
    <w:rsid w:val="00C279D9"/>
    <w:rsid w:val="00C27D32"/>
    <w:rsid w:val="00C3113A"/>
    <w:rsid w:val="00C33F95"/>
    <w:rsid w:val="00C3415B"/>
    <w:rsid w:val="00C34DF1"/>
    <w:rsid w:val="00C35673"/>
    <w:rsid w:val="00C3743C"/>
    <w:rsid w:val="00C40453"/>
    <w:rsid w:val="00C42412"/>
    <w:rsid w:val="00C425C6"/>
    <w:rsid w:val="00C43331"/>
    <w:rsid w:val="00C4386C"/>
    <w:rsid w:val="00C4665A"/>
    <w:rsid w:val="00C46FB0"/>
    <w:rsid w:val="00C50498"/>
    <w:rsid w:val="00C5269E"/>
    <w:rsid w:val="00C529C9"/>
    <w:rsid w:val="00C5409B"/>
    <w:rsid w:val="00C556E2"/>
    <w:rsid w:val="00C56396"/>
    <w:rsid w:val="00C57147"/>
    <w:rsid w:val="00C5714C"/>
    <w:rsid w:val="00C60232"/>
    <w:rsid w:val="00C62602"/>
    <w:rsid w:val="00C63459"/>
    <w:rsid w:val="00C648CD"/>
    <w:rsid w:val="00C6571E"/>
    <w:rsid w:val="00C65CD6"/>
    <w:rsid w:val="00C65F88"/>
    <w:rsid w:val="00C660B7"/>
    <w:rsid w:val="00C670FB"/>
    <w:rsid w:val="00C67FCA"/>
    <w:rsid w:val="00C715F0"/>
    <w:rsid w:val="00C75370"/>
    <w:rsid w:val="00C75AC4"/>
    <w:rsid w:val="00C76614"/>
    <w:rsid w:val="00C80921"/>
    <w:rsid w:val="00C81CE4"/>
    <w:rsid w:val="00C82765"/>
    <w:rsid w:val="00C84ACC"/>
    <w:rsid w:val="00C86058"/>
    <w:rsid w:val="00C875D6"/>
    <w:rsid w:val="00C87BCD"/>
    <w:rsid w:val="00C90ED6"/>
    <w:rsid w:val="00C91B0C"/>
    <w:rsid w:val="00C924AA"/>
    <w:rsid w:val="00C9256D"/>
    <w:rsid w:val="00C92BDC"/>
    <w:rsid w:val="00C9342D"/>
    <w:rsid w:val="00C95DEC"/>
    <w:rsid w:val="00C9670B"/>
    <w:rsid w:val="00CA2083"/>
    <w:rsid w:val="00CA5596"/>
    <w:rsid w:val="00CA5E82"/>
    <w:rsid w:val="00CB0026"/>
    <w:rsid w:val="00CB004F"/>
    <w:rsid w:val="00CB20CD"/>
    <w:rsid w:val="00CB2B0B"/>
    <w:rsid w:val="00CB4647"/>
    <w:rsid w:val="00CB5FDF"/>
    <w:rsid w:val="00CB6670"/>
    <w:rsid w:val="00CB6CE9"/>
    <w:rsid w:val="00CB7E77"/>
    <w:rsid w:val="00CC12EE"/>
    <w:rsid w:val="00CC147A"/>
    <w:rsid w:val="00CC172B"/>
    <w:rsid w:val="00CC48DD"/>
    <w:rsid w:val="00CC5389"/>
    <w:rsid w:val="00CC59B0"/>
    <w:rsid w:val="00CC5FF4"/>
    <w:rsid w:val="00CC69F8"/>
    <w:rsid w:val="00CC74C3"/>
    <w:rsid w:val="00CD0119"/>
    <w:rsid w:val="00CD05E9"/>
    <w:rsid w:val="00CD31EC"/>
    <w:rsid w:val="00CD43D9"/>
    <w:rsid w:val="00CD5592"/>
    <w:rsid w:val="00CD73A5"/>
    <w:rsid w:val="00CE1980"/>
    <w:rsid w:val="00CE4131"/>
    <w:rsid w:val="00CE42F1"/>
    <w:rsid w:val="00CE7460"/>
    <w:rsid w:val="00CE74CE"/>
    <w:rsid w:val="00CE7660"/>
    <w:rsid w:val="00CF14D9"/>
    <w:rsid w:val="00CF1842"/>
    <w:rsid w:val="00CF18BC"/>
    <w:rsid w:val="00CF22B3"/>
    <w:rsid w:val="00CF242E"/>
    <w:rsid w:val="00CF276B"/>
    <w:rsid w:val="00CF392F"/>
    <w:rsid w:val="00CF3AE7"/>
    <w:rsid w:val="00CF3AFE"/>
    <w:rsid w:val="00CF4422"/>
    <w:rsid w:val="00CF4ABB"/>
    <w:rsid w:val="00CF4C1D"/>
    <w:rsid w:val="00CF4C9A"/>
    <w:rsid w:val="00CF5A6E"/>
    <w:rsid w:val="00CF6D5D"/>
    <w:rsid w:val="00D0076C"/>
    <w:rsid w:val="00D00781"/>
    <w:rsid w:val="00D012C7"/>
    <w:rsid w:val="00D024FC"/>
    <w:rsid w:val="00D026B6"/>
    <w:rsid w:val="00D03AC0"/>
    <w:rsid w:val="00D04F56"/>
    <w:rsid w:val="00D05001"/>
    <w:rsid w:val="00D06994"/>
    <w:rsid w:val="00D06DCE"/>
    <w:rsid w:val="00D07A5F"/>
    <w:rsid w:val="00D135A0"/>
    <w:rsid w:val="00D1407D"/>
    <w:rsid w:val="00D154FD"/>
    <w:rsid w:val="00D15CA8"/>
    <w:rsid w:val="00D16413"/>
    <w:rsid w:val="00D17A5A"/>
    <w:rsid w:val="00D201F4"/>
    <w:rsid w:val="00D219F5"/>
    <w:rsid w:val="00D22CDA"/>
    <w:rsid w:val="00D26DF6"/>
    <w:rsid w:val="00D27112"/>
    <w:rsid w:val="00D279C7"/>
    <w:rsid w:val="00D30A32"/>
    <w:rsid w:val="00D30A5B"/>
    <w:rsid w:val="00D30C14"/>
    <w:rsid w:val="00D31879"/>
    <w:rsid w:val="00D3256F"/>
    <w:rsid w:val="00D33A64"/>
    <w:rsid w:val="00D35DAE"/>
    <w:rsid w:val="00D36889"/>
    <w:rsid w:val="00D40424"/>
    <w:rsid w:val="00D43144"/>
    <w:rsid w:val="00D44469"/>
    <w:rsid w:val="00D45D49"/>
    <w:rsid w:val="00D45D4A"/>
    <w:rsid w:val="00D46723"/>
    <w:rsid w:val="00D50424"/>
    <w:rsid w:val="00D50D43"/>
    <w:rsid w:val="00D51E68"/>
    <w:rsid w:val="00D52173"/>
    <w:rsid w:val="00D52B25"/>
    <w:rsid w:val="00D5567E"/>
    <w:rsid w:val="00D55860"/>
    <w:rsid w:val="00D56632"/>
    <w:rsid w:val="00D56AA9"/>
    <w:rsid w:val="00D60BA8"/>
    <w:rsid w:val="00D6203B"/>
    <w:rsid w:val="00D620B3"/>
    <w:rsid w:val="00D7035A"/>
    <w:rsid w:val="00D70EB3"/>
    <w:rsid w:val="00D719A6"/>
    <w:rsid w:val="00D71C87"/>
    <w:rsid w:val="00D72358"/>
    <w:rsid w:val="00D725F8"/>
    <w:rsid w:val="00D72A09"/>
    <w:rsid w:val="00D74906"/>
    <w:rsid w:val="00D75531"/>
    <w:rsid w:val="00D77EAB"/>
    <w:rsid w:val="00D821B4"/>
    <w:rsid w:val="00D82257"/>
    <w:rsid w:val="00D832AF"/>
    <w:rsid w:val="00D8355E"/>
    <w:rsid w:val="00D84EED"/>
    <w:rsid w:val="00D852D1"/>
    <w:rsid w:val="00D85803"/>
    <w:rsid w:val="00D904F4"/>
    <w:rsid w:val="00D9220D"/>
    <w:rsid w:val="00D92631"/>
    <w:rsid w:val="00D92E90"/>
    <w:rsid w:val="00D93ECC"/>
    <w:rsid w:val="00D93F32"/>
    <w:rsid w:val="00D978FC"/>
    <w:rsid w:val="00DA0898"/>
    <w:rsid w:val="00DA1C89"/>
    <w:rsid w:val="00DA1EA6"/>
    <w:rsid w:val="00DA1EFD"/>
    <w:rsid w:val="00DA20ED"/>
    <w:rsid w:val="00DA43D9"/>
    <w:rsid w:val="00DA4AC2"/>
    <w:rsid w:val="00DA50C6"/>
    <w:rsid w:val="00DA5579"/>
    <w:rsid w:val="00DA616D"/>
    <w:rsid w:val="00DA65BC"/>
    <w:rsid w:val="00DA683D"/>
    <w:rsid w:val="00DA6C47"/>
    <w:rsid w:val="00DA6F7C"/>
    <w:rsid w:val="00DB12D4"/>
    <w:rsid w:val="00DB1B9A"/>
    <w:rsid w:val="00DB1FA3"/>
    <w:rsid w:val="00DB24DE"/>
    <w:rsid w:val="00DB4821"/>
    <w:rsid w:val="00DB4822"/>
    <w:rsid w:val="00DB6842"/>
    <w:rsid w:val="00DB69A2"/>
    <w:rsid w:val="00DC0AE4"/>
    <w:rsid w:val="00DC14B2"/>
    <w:rsid w:val="00DC168D"/>
    <w:rsid w:val="00DC238F"/>
    <w:rsid w:val="00DC4458"/>
    <w:rsid w:val="00DC5401"/>
    <w:rsid w:val="00DC5A5A"/>
    <w:rsid w:val="00DC5B2C"/>
    <w:rsid w:val="00DC634F"/>
    <w:rsid w:val="00DC7217"/>
    <w:rsid w:val="00DC7F31"/>
    <w:rsid w:val="00DD06B4"/>
    <w:rsid w:val="00DD08C9"/>
    <w:rsid w:val="00DD1267"/>
    <w:rsid w:val="00DD2533"/>
    <w:rsid w:val="00DD3A52"/>
    <w:rsid w:val="00DD477B"/>
    <w:rsid w:val="00DD58CC"/>
    <w:rsid w:val="00DE19D6"/>
    <w:rsid w:val="00DE3BC9"/>
    <w:rsid w:val="00DE4186"/>
    <w:rsid w:val="00DE495A"/>
    <w:rsid w:val="00DE4F2E"/>
    <w:rsid w:val="00DE6652"/>
    <w:rsid w:val="00DF0067"/>
    <w:rsid w:val="00DF041A"/>
    <w:rsid w:val="00DF1A9C"/>
    <w:rsid w:val="00DF4D03"/>
    <w:rsid w:val="00DF5BD6"/>
    <w:rsid w:val="00DF6A70"/>
    <w:rsid w:val="00DF76EE"/>
    <w:rsid w:val="00E002A6"/>
    <w:rsid w:val="00E0122F"/>
    <w:rsid w:val="00E01C40"/>
    <w:rsid w:val="00E024AF"/>
    <w:rsid w:val="00E03748"/>
    <w:rsid w:val="00E045C7"/>
    <w:rsid w:val="00E05588"/>
    <w:rsid w:val="00E06CB9"/>
    <w:rsid w:val="00E07977"/>
    <w:rsid w:val="00E10073"/>
    <w:rsid w:val="00E1047C"/>
    <w:rsid w:val="00E11F7B"/>
    <w:rsid w:val="00E12EE4"/>
    <w:rsid w:val="00E12F83"/>
    <w:rsid w:val="00E133FB"/>
    <w:rsid w:val="00E14F79"/>
    <w:rsid w:val="00E151C8"/>
    <w:rsid w:val="00E15DAE"/>
    <w:rsid w:val="00E2234F"/>
    <w:rsid w:val="00E23C55"/>
    <w:rsid w:val="00E27085"/>
    <w:rsid w:val="00E27162"/>
    <w:rsid w:val="00E27582"/>
    <w:rsid w:val="00E27F01"/>
    <w:rsid w:val="00E3137D"/>
    <w:rsid w:val="00E33C1B"/>
    <w:rsid w:val="00E368FD"/>
    <w:rsid w:val="00E36D60"/>
    <w:rsid w:val="00E378EA"/>
    <w:rsid w:val="00E403BA"/>
    <w:rsid w:val="00E41BD8"/>
    <w:rsid w:val="00E4246B"/>
    <w:rsid w:val="00E4387F"/>
    <w:rsid w:val="00E43ACE"/>
    <w:rsid w:val="00E43DAC"/>
    <w:rsid w:val="00E43F8B"/>
    <w:rsid w:val="00E440D2"/>
    <w:rsid w:val="00E44165"/>
    <w:rsid w:val="00E45127"/>
    <w:rsid w:val="00E46187"/>
    <w:rsid w:val="00E47E70"/>
    <w:rsid w:val="00E50120"/>
    <w:rsid w:val="00E5168C"/>
    <w:rsid w:val="00E51C6F"/>
    <w:rsid w:val="00E53E27"/>
    <w:rsid w:val="00E542BA"/>
    <w:rsid w:val="00E54567"/>
    <w:rsid w:val="00E5621D"/>
    <w:rsid w:val="00E57595"/>
    <w:rsid w:val="00E576AE"/>
    <w:rsid w:val="00E60395"/>
    <w:rsid w:val="00E605EA"/>
    <w:rsid w:val="00E60609"/>
    <w:rsid w:val="00E608AE"/>
    <w:rsid w:val="00E61916"/>
    <w:rsid w:val="00E6243C"/>
    <w:rsid w:val="00E633D8"/>
    <w:rsid w:val="00E663C1"/>
    <w:rsid w:val="00E66745"/>
    <w:rsid w:val="00E70131"/>
    <w:rsid w:val="00E71217"/>
    <w:rsid w:val="00E72375"/>
    <w:rsid w:val="00E72642"/>
    <w:rsid w:val="00E7272F"/>
    <w:rsid w:val="00E74D11"/>
    <w:rsid w:val="00E74DA7"/>
    <w:rsid w:val="00E779C9"/>
    <w:rsid w:val="00E77BF7"/>
    <w:rsid w:val="00E84F4F"/>
    <w:rsid w:val="00E85006"/>
    <w:rsid w:val="00E86AEA"/>
    <w:rsid w:val="00E87193"/>
    <w:rsid w:val="00E9069E"/>
    <w:rsid w:val="00E91014"/>
    <w:rsid w:val="00E91935"/>
    <w:rsid w:val="00E935AE"/>
    <w:rsid w:val="00E93B75"/>
    <w:rsid w:val="00E945F4"/>
    <w:rsid w:val="00E965E9"/>
    <w:rsid w:val="00E97851"/>
    <w:rsid w:val="00EA0C30"/>
    <w:rsid w:val="00EA2CB2"/>
    <w:rsid w:val="00EA2E6E"/>
    <w:rsid w:val="00EA42E2"/>
    <w:rsid w:val="00EA5E3E"/>
    <w:rsid w:val="00EA7381"/>
    <w:rsid w:val="00EA7C37"/>
    <w:rsid w:val="00EA7C57"/>
    <w:rsid w:val="00EA7FEB"/>
    <w:rsid w:val="00EB00B4"/>
    <w:rsid w:val="00EB36BE"/>
    <w:rsid w:val="00EB6FAF"/>
    <w:rsid w:val="00EC043C"/>
    <w:rsid w:val="00EC09BC"/>
    <w:rsid w:val="00EC22CE"/>
    <w:rsid w:val="00EC22DF"/>
    <w:rsid w:val="00EC3C81"/>
    <w:rsid w:val="00EC5FD4"/>
    <w:rsid w:val="00EC6B40"/>
    <w:rsid w:val="00EC7256"/>
    <w:rsid w:val="00EC7669"/>
    <w:rsid w:val="00ED0455"/>
    <w:rsid w:val="00ED63EF"/>
    <w:rsid w:val="00EE03F0"/>
    <w:rsid w:val="00EE043D"/>
    <w:rsid w:val="00EE0670"/>
    <w:rsid w:val="00EE2472"/>
    <w:rsid w:val="00EE3442"/>
    <w:rsid w:val="00EE35EF"/>
    <w:rsid w:val="00EE380A"/>
    <w:rsid w:val="00EE42A4"/>
    <w:rsid w:val="00EE4762"/>
    <w:rsid w:val="00EF1A8E"/>
    <w:rsid w:val="00EF1F5F"/>
    <w:rsid w:val="00EF2E09"/>
    <w:rsid w:val="00EF5A41"/>
    <w:rsid w:val="00EF6C40"/>
    <w:rsid w:val="00EF79AD"/>
    <w:rsid w:val="00F00089"/>
    <w:rsid w:val="00F008B0"/>
    <w:rsid w:val="00F00A47"/>
    <w:rsid w:val="00F01783"/>
    <w:rsid w:val="00F022CC"/>
    <w:rsid w:val="00F03652"/>
    <w:rsid w:val="00F03FA5"/>
    <w:rsid w:val="00F079B2"/>
    <w:rsid w:val="00F104AA"/>
    <w:rsid w:val="00F10E74"/>
    <w:rsid w:val="00F1150C"/>
    <w:rsid w:val="00F11C5E"/>
    <w:rsid w:val="00F160F5"/>
    <w:rsid w:val="00F17EE9"/>
    <w:rsid w:val="00F214E0"/>
    <w:rsid w:val="00F21E3D"/>
    <w:rsid w:val="00F24941"/>
    <w:rsid w:val="00F25334"/>
    <w:rsid w:val="00F2561B"/>
    <w:rsid w:val="00F26E30"/>
    <w:rsid w:val="00F26F4A"/>
    <w:rsid w:val="00F273D5"/>
    <w:rsid w:val="00F27EF5"/>
    <w:rsid w:val="00F31479"/>
    <w:rsid w:val="00F31C2E"/>
    <w:rsid w:val="00F33216"/>
    <w:rsid w:val="00F33F99"/>
    <w:rsid w:val="00F34600"/>
    <w:rsid w:val="00F3506F"/>
    <w:rsid w:val="00F3585C"/>
    <w:rsid w:val="00F3737A"/>
    <w:rsid w:val="00F37C5A"/>
    <w:rsid w:val="00F418D5"/>
    <w:rsid w:val="00F43F27"/>
    <w:rsid w:val="00F44E29"/>
    <w:rsid w:val="00F4561C"/>
    <w:rsid w:val="00F472F9"/>
    <w:rsid w:val="00F47491"/>
    <w:rsid w:val="00F5025C"/>
    <w:rsid w:val="00F50D17"/>
    <w:rsid w:val="00F541B0"/>
    <w:rsid w:val="00F55047"/>
    <w:rsid w:val="00F56532"/>
    <w:rsid w:val="00F57F79"/>
    <w:rsid w:val="00F60E18"/>
    <w:rsid w:val="00F61A00"/>
    <w:rsid w:val="00F61D7F"/>
    <w:rsid w:val="00F63AD0"/>
    <w:rsid w:val="00F63C47"/>
    <w:rsid w:val="00F6497D"/>
    <w:rsid w:val="00F7157B"/>
    <w:rsid w:val="00F744C6"/>
    <w:rsid w:val="00F74F6A"/>
    <w:rsid w:val="00F762C7"/>
    <w:rsid w:val="00F8082C"/>
    <w:rsid w:val="00F80E0E"/>
    <w:rsid w:val="00F81F40"/>
    <w:rsid w:val="00F8252C"/>
    <w:rsid w:val="00F84105"/>
    <w:rsid w:val="00F84806"/>
    <w:rsid w:val="00F86E48"/>
    <w:rsid w:val="00F87CB7"/>
    <w:rsid w:val="00F907D8"/>
    <w:rsid w:val="00F92746"/>
    <w:rsid w:val="00F92BB1"/>
    <w:rsid w:val="00F94AEE"/>
    <w:rsid w:val="00F95860"/>
    <w:rsid w:val="00F97FA7"/>
    <w:rsid w:val="00FA0875"/>
    <w:rsid w:val="00FA17E1"/>
    <w:rsid w:val="00FA17E3"/>
    <w:rsid w:val="00FA194E"/>
    <w:rsid w:val="00FA297F"/>
    <w:rsid w:val="00FA35ED"/>
    <w:rsid w:val="00FA56D8"/>
    <w:rsid w:val="00FB08D6"/>
    <w:rsid w:val="00FB165C"/>
    <w:rsid w:val="00FB1B80"/>
    <w:rsid w:val="00FB2D03"/>
    <w:rsid w:val="00FB37EA"/>
    <w:rsid w:val="00FB39A6"/>
    <w:rsid w:val="00FB6026"/>
    <w:rsid w:val="00FC20BD"/>
    <w:rsid w:val="00FC2EAE"/>
    <w:rsid w:val="00FC485E"/>
    <w:rsid w:val="00FC761F"/>
    <w:rsid w:val="00FC7D41"/>
    <w:rsid w:val="00FC7EEE"/>
    <w:rsid w:val="00FD14B1"/>
    <w:rsid w:val="00FD1687"/>
    <w:rsid w:val="00FD24EB"/>
    <w:rsid w:val="00FD3E99"/>
    <w:rsid w:val="00FD44C0"/>
    <w:rsid w:val="00FD69AC"/>
    <w:rsid w:val="00FD7F0E"/>
    <w:rsid w:val="00FE2663"/>
    <w:rsid w:val="00FE2C85"/>
    <w:rsid w:val="00FE3C1B"/>
    <w:rsid w:val="00FE4F86"/>
    <w:rsid w:val="00FF0141"/>
    <w:rsid w:val="00FF1256"/>
    <w:rsid w:val="00FF144E"/>
    <w:rsid w:val="00FF2B5A"/>
    <w:rsid w:val="00FF4AC1"/>
    <w:rsid w:val="00FF5A52"/>
    <w:rsid w:val="00FF5EA6"/>
    <w:rsid w:val="00FF619C"/>
    <w:rsid w:val="00FF6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C1E513"/>
  <w15:docId w15:val="{0E34DD0B-9121-4C53-8B7B-BEDD62B5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F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0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165C"/>
    <w:pPr>
      <w:tabs>
        <w:tab w:val="center" w:pos="4320"/>
        <w:tab w:val="right" w:pos="8640"/>
      </w:tabs>
    </w:pPr>
  </w:style>
  <w:style w:type="character" w:customStyle="1" w:styleId="FooterChar">
    <w:name w:val="Footer Char"/>
    <w:basedOn w:val="DefaultParagraphFont"/>
    <w:link w:val="Footer"/>
    <w:uiPriority w:val="99"/>
    <w:rsid w:val="00FB165C"/>
  </w:style>
  <w:style w:type="character" w:styleId="PageNumber">
    <w:name w:val="page number"/>
    <w:basedOn w:val="DefaultParagraphFont"/>
    <w:uiPriority w:val="99"/>
    <w:semiHidden/>
    <w:unhideWhenUsed/>
    <w:rsid w:val="00FB165C"/>
  </w:style>
  <w:style w:type="paragraph" w:styleId="ListParagraph">
    <w:name w:val="List Paragraph"/>
    <w:aliases w:val="Kincare bullet"/>
    <w:basedOn w:val="Normal"/>
    <w:link w:val="ListParagraphChar"/>
    <w:uiPriority w:val="34"/>
    <w:qFormat/>
    <w:rsid w:val="000D69CC"/>
    <w:pPr>
      <w:ind w:left="720"/>
      <w:contextualSpacing/>
    </w:pPr>
  </w:style>
  <w:style w:type="paragraph" w:styleId="BalloonText">
    <w:name w:val="Balloon Text"/>
    <w:basedOn w:val="Normal"/>
    <w:link w:val="BalloonTextChar"/>
    <w:uiPriority w:val="99"/>
    <w:semiHidden/>
    <w:unhideWhenUsed/>
    <w:rsid w:val="00E02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4AF"/>
    <w:rPr>
      <w:rFonts w:ascii="Segoe UI" w:hAnsi="Segoe UI" w:cs="Segoe UI"/>
      <w:sz w:val="18"/>
      <w:szCs w:val="18"/>
    </w:rPr>
  </w:style>
  <w:style w:type="paragraph" w:styleId="Header">
    <w:name w:val="header"/>
    <w:basedOn w:val="Normal"/>
    <w:link w:val="HeaderChar"/>
    <w:uiPriority w:val="99"/>
    <w:unhideWhenUsed/>
    <w:rsid w:val="003D6B12"/>
    <w:pPr>
      <w:tabs>
        <w:tab w:val="center" w:pos="4513"/>
        <w:tab w:val="right" w:pos="9026"/>
      </w:tabs>
    </w:pPr>
  </w:style>
  <w:style w:type="character" w:customStyle="1" w:styleId="HeaderChar">
    <w:name w:val="Header Char"/>
    <w:basedOn w:val="DefaultParagraphFont"/>
    <w:link w:val="Header"/>
    <w:uiPriority w:val="99"/>
    <w:rsid w:val="003D6B12"/>
  </w:style>
  <w:style w:type="character" w:styleId="CommentReference">
    <w:name w:val="annotation reference"/>
    <w:basedOn w:val="DefaultParagraphFont"/>
    <w:uiPriority w:val="99"/>
    <w:semiHidden/>
    <w:unhideWhenUsed/>
    <w:rsid w:val="00502E4E"/>
    <w:rPr>
      <w:sz w:val="16"/>
      <w:szCs w:val="16"/>
    </w:rPr>
  </w:style>
  <w:style w:type="paragraph" w:styleId="CommentText">
    <w:name w:val="annotation text"/>
    <w:basedOn w:val="Normal"/>
    <w:link w:val="CommentTextChar"/>
    <w:uiPriority w:val="99"/>
    <w:unhideWhenUsed/>
    <w:rsid w:val="00502E4E"/>
    <w:rPr>
      <w:sz w:val="20"/>
      <w:szCs w:val="20"/>
    </w:rPr>
  </w:style>
  <w:style w:type="character" w:customStyle="1" w:styleId="CommentTextChar">
    <w:name w:val="Comment Text Char"/>
    <w:basedOn w:val="DefaultParagraphFont"/>
    <w:link w:val="CommentText"/>
    <w:uiPriority w:val="99"/>
    <w:rsid w:val="00502E4E"/>
    <w:rPr>
      <w:sz w:val="20"/>
      <w:szCs w:val="20"/>
    </w:rPr>
  </w:style>
  <w:style w:type="paragraph" w:styleId="CommentSubject">
    <w:name w:val="annotation subject"/>
    <w:basedOn w:val="CommentText"/>
    <w:next w:val="CommentText"/>
    <w:link w:val="CommentSubjectChar"/>
    <w:uiPriority w:val="99"/>
    <w:semiHidden/>
    <w:unhideWhenUsed/>
    <w:rsid w:val="00502E4E"/>
    <w:rPr>
      <w:b/>
      <w:bCs/>
    </w:rPr>
  </w:style>
  <w:style w:type="character" w:customStyle="1" w:styleId="CommentSubjectChar">
    <w:name w:val="Comment Subject Char"/>
    <w:basedOn w:val="CommentTextChar"/>
    <w:link w:val="CommentSubject"/>
    <w:uiPriority w:val="99"/>
    <w:semiHidden/>
    <w:rsid w:val="00502E4E"/>
    <w:rPr>
      <w:b/>
      <w:bCs/>
      <w:sz w:val="20"/>
      <w:szCs w:val="20"/>
    </w:rPr>
  </w:style>
  <w:style w:type="paragraph" w:customStyle="1" w:styleId="Hanovertext">
    <w:name w:val="Hanover text"/>
    <w:basedOn w:val="Normal"/>
    <w:link w:val="HanovertextChar"/>
    <w:rsid w:val="00D77EAB"/>
    <w:pPr>
      <w:jc w:val="both"/>
    </w:pPr>
    <w:rPr>
      <w:rFonts w:ascii="Arial" w:eastAsia="Times New Roman" w:hAnsi="Arial" w:cs="Arial"/>
      <w:color w:val="666666"/>
      <w:lang w:eastAsia="en-GB"/>
    </w:rPr>
  </w:style>
  <w:style w:type="character" w:customStyle="1" w:styleId="HanovertextChar">
    <w:name w:val="Hanover text Char"/>
    <w:basedOn w:val="DefaultParagraphFont"/>
    <w:link w:val="Hanovertext"/>
    <w:rsid w:val="00D77EAB"/>
    <w:rPr>
      <w:rFonts w:ascii="Arial" w:eastAsia="Times New Roman" w:hAnsi="Arial" w:cs="Arial"/>
      <w:color w:val="666666"/>
      <w:lang w:val="en-GB" w:eastAsia="en-GB"/>
    </w:rPr>
  </w:style>
  <w:style w:type="paragraph" w:customStyle="1" w:styleId="Hanoverbullet">
    <w:name w:val="Hanover bullet"/>
    <w:basedOn w:val="Normal"/>
    <w:link w:val="HanoverbulletChar"/>
    <w:rsid w:val="003C2DAD"/>
    <w:pPr>
      <w:ind w:left="720" w:hanging="360"/>
      <w:jc w:val="both"/>
    </w:pPr>
    <w:rPr>
      <w:rFonts w:ascii="Arial" w:eastAsia="Times New Roman" w:hAnsi="Arial" w:cs="Arial"/>
      <w:color w:val="666666"/>
      <w:lang w:eastAsia="en-GB"/>
    </w:rPr>
  </w:style>
  <w:style w:type="character" w:customStyle="1" w:styleId="HanoverbulletChar">
    <w:name w:val="Hanover bullet Char"/>
    <w:basedOn w:val="DefaultParagraphFont"/>
    <w:link w:val="Hanoverbullet"/>
    <w:rsid w:val="003C2DAD"/>
    <w:rPr>
      <w:rFonts w:ascii="Arial" w:eastAsia="Times New Roman" w:hAnsi="Arial" w:cs="Arial"/>
      <w:color w:val="666666"/>
      <w:lang w:val="en-GB" w:eastAsia="en-GB"/>
    </w:rPr>
  </w:style>
  <w:style w:type="paragraph" w:customStyle="1" w:styleId="Bullet1">
    <w:name w:val="Bullet 1"/>
    <w:basedOn w:val="ListParagraph"/>
    <w:link w:val="Bullet1Char"/>
    <w:rsid w:val="0067669D"/>
    <w:pPr>
      <w:ind w:left="397" w:hanging="360"/>
    </w:pPr>
    <w:rPr>
      <w:rFonts w:ascii="Raleway" w:hAnsi="Raleway" w:cs="Arial"/>
      <w:sz w:val="22"/>
      <w:szCs w:val="22"/>
    </w:rPr>
  </w:style>
  <w:style w:type="character" w:customStyle="1" w:styleId="ListParagraphChar">
    <w:name w:val="List Paragraph Char"/>
    <w:aliases w:val="Kincare bullet Char"/>
    <w:basedOn w:val="DefaultParagraphFont"/>
    <w:link w:val="ListParagraph"/>
    <w:uiPriority w:val="34"/>
    <w:rsid w:val="00A215FE"/>
  </w:style>
  <w:style w:type="character" w:customStyle="1" w:styleId="Bullet1Char">
    <w:name w:val="Bullet 1 Char"/>
    <w:basedOn w:val="ListParagraphChar"/>
    <w:link w:val="Bullet1"/>
    <w:rsid w:val="0067669D"/>
    <w:rPr>
      <w:rFonts w:ascii="Raleway" w:hAnsi="Raleway" w:cs="Arial"/>
      <w:sz w:val="22"/>
      <w:szCs w:val="22"/>
      <w:lang w:val="en-GB"/>
    </w:rPr>
  </w:style>
  <w:style w:type="paragraph" w:customStyle="1" w:styleId="ArkParanumbered">
    <w:name w:val="Ark Para numbered"/>
    <w:basedOn w:val="ListParagraph"/>
    <w:link w:val="ArkParanumberedChar"/>
    <w:qFormat/>
    <w:rsid w:val="008905C3"/>
    <w:pPr>
      <w:numPr>
        <w:numId w:val="2"/>
      </w:numPr>
      <w:spacing w:after="160" w:line="259" w:lineRule="auto"/>
    </w:pPr>
    <w:rPr>
      <w:rFonts w:ascii="Rubik" w:hAnsi="Rubik" w:cs="Rubik"/>
      <w:b/>
      <w:bCs/>
      <w:color w:val="0070C0" w:themeColor="accent1"/>
      <w:sz w:val="28"/>
      <w:szCs w:val="28"/>
    </w:rPr>
  </w:style>
  <w:style w:type="character" w:customStyle="1" w:styleId="ArkParanumberedChar">
    <w:name w:val="Ark Para numbered Char"/>
    <w:basedOn w:val="DefaultParagraphFont"/>
    <w:link w:val="ArkParanumbered"/>
    <w:rsid w:val="008905C3"/>
    <w:rPr>
      <w:rFonts w:ascii="Rubik" w:hAnsi="Rubik" w:cs="Rubik"/>
      <w:b/>
      <w:bCs/>
      <w:color w:val="0070C0" w:themeColor="accent1"/>
      <w:sz w:val="28"/>
      <w:szCs w:val="28"/>
      <w:lang w:val="en-GB"/>
    </w:rPr>
  </w:style>
  <w:style w:type="paragraph" w:customStyle="1" w:styleId="Bullet2">
    <w:name w:val="Bullet 2"/>
    <w:basedOn w:val="ListParagraph"/>
    <w:link w:val="Bullet2Char"/>
    <w:qFormat/>
    <w:rsid w:val="002753DD"/>
    <w:pPr>
      <w:numPr>
        <w:ilvl w:val="1"/>
        <w:numId w:val="1"/>
      </w:numPr>
      <w:ind w:left="779"/>
    </w:pPr>
    <w:rPr>
      <w:rFonts w:ascii="Raleway" w:hAnsi="Raleway" w:cs="Arial"/>
      <w:sz w:val="22"/>
      <w:szCs w:val="22"/>
    </w:rPr>
  </w:style>
  <w:style w:type="paragraph" w:customStyle="1" w:styleId="Arkbullets">
    <w:name w:val="Ark bullets"/>
    <w:basedOn w:val="ListParagraph"/>
    <w:rsid w:val="00CF3AFE"/>
    <w:pPr>
      <w:ind w:left="927" w:hanging="360"/>
      <w:jc w:val="both"/>
    </w:pPr>
    <w:rPr>
      <w:rFonts w:ascii="Lato" w:eastAsia="Calibri" w:hAnsi="Lato" w:cs="Arial"/>
    </w:rPr>
  </w:style>
  <w:style w:type="character" w:customStyle="1" w:styleId="Bullet2Char">
    <w:name w:val="Bullet 2 Char"/>
    <w:basedOn w:val="ListParagraphChar"/>
    <w:link w:val="Bullet2"/>
    <w:rsid w:val="002753DD"/>
    <w:rPr>
      <w:rFonts w:ascii="Raleway" w:hAnsi="Raleway" w:cs="Arial"/>
      <w:sz w:val="22"/>
      <w:szCs w:val="22"/>
      <w:lang w:val="en-GB"/>
    </w:rPr>
  </w:style>
  <w:style w:type="paragraph" w:customStyle="1" w:styleId="Default">
    <w:name w:val="Default"/>
    <w:rsid w:val="00F4561C"/>
    <w:pPr>
      <w:autoSpaceDE w:val="0"/>
      <w:autoSpaceDN w:val="0"/>
      <w:adjustRightInd w:val="0"/>
    </w:pPr>
    <w:rPr>
      <w:rFonts w:ascii="Lato" w:hAnsi="Lato" w:cs="Lato"/>
      <w:color w:val="000000"/>
      <w:lang w:val="en-GB"/>
    </w:rPr>
  </w:style>
  <w:style w:type="paragraph" w:customStyle="1" w:styleId="Arkbullet1">
    <w:name w:val="Ark bullet 1"/>
    <w:basedOn w:val="ListParagraph"/>
    <w:link w:val="Arkbullet1Char"/>
    <w:qFormat/>
    <w:rsid w:val="00E3137D"/>
    <w:pPr>
      <w:numPr>
        <w:numId w:val="7"/>
      </w:numPr>
    </w:pPr>
    <w:rPr>
      <w:rFonts w:ascii="Rubik" w:hAnsi="Rubik" w:cs="Rubik"/>
      <w:color w:val="373266" w:themeColor="text2"/>
      <w:sz w:val="22"/>
      <w:szCs w:val="22"/>
    </w:rPr>
  </w:style>
  <w:style w:type="character" w:customStyle="1" w:styleId="Arkbullet1Char">
    <w:name w:val="Ark bullet 1 Char"/>
    <w:basedOn w:val="DefaultParagraphFont"/>
    <w:link w:val="Arkbullet1"/>
    <w:rsid w:val="00E3137D"/>
    <w:rPr>
      <w:rFonts w:ascii="Rubik" w:hAnsi="Rubik" w:cs="Rubik"/>
      <w:color w:val="373266" w:themeColor="text2"/>
      <w:sz w:val="22"/>
      <w:szCs w:val="22"/>
      <w:lang w:val="en-GB"/>
    </w:rPr>
  </w:style>
  <w:style w:type="paragraph" w:customStyle="1" w:styleId="Anchorbullet">
    <w:name w:val="Anchor bullet"/>
    <w:basedOn w:val="Normal"/>
    <w:rsid w:val="007E0AB0"/>
    <w:pPr>
      <w:numPr>
        <w:numId w:val="3"/>
      </w:numPr>
      <w:spacing w:after="120" w:line="276" w:lineRule="auto"/>
    </w:pPr>
    <w:rPr>
      <w:rFonts w:ascii="Lato" w:eastAsiaTheme="minorHAnsi" w:hAnsi="Lato"/>
      <w:lang w:eastAsia="en-GB"/>
    </w:rPr>
  </w:style>
  <w:style w:type="character" w:customStyle="1" w:styleId="PCHbulletChar">
    <w:name w:val="PCH bullet Char"/>
    <w:basedOn w:val="DefaultParagraphFont"/>
    <w:link w:val="PCHbullet"/>
    <w:locked/>
    <w:rsid w:val="00021CE8"/>
    <w:rPr>
      <w:rFonts w:ascii="Open Sans" w:hAnsi="Open Sans" w:cs="Arial"/>
      <w:color w:val="666666"/>
    </w:rPr>
  </w:style>
  <w:style w:type="paragraph" w:customStyle="1" w:styleId="PCHbullet">
    <w:name w:val="PCH bullet"/>
    <w:basedOn w:val="ListParagraph"/>
    <w:link w:val="PCHbulletChar"/>
    <w:qFormat/>
    <w:rsid w:val="00021CE8"/>
    <w:pPr>
      <w:numPr>
        <w:numId w:val="4"/>
      </w:numPr>
    </w:pPr>
    <w:rPr>
      <w:rFonts w:ascii="Open Sans" w:hAnsi="Open Sans" w:cs="Arial"/>
      <w:color w:val="666666"/>
      <w:lang w:val="en-US"/>
    </w:rPr>
  </w:style>
  <w:style w:type="paragraph" w:customStyle="1" w:styleId="PCH2">
    <w:name w:val="PCH 2"/>
    <w:basedOn w:val="Normal"/>
    <w:link w:val="PCH2Char"/>
    <w:qFormat/>
    <w:rsid w:val="00021CE8"/>
    <w:pPr>
      <w:autoSpaceDE w:val="0"/>
      <w:autoSpaceDN w:val="0"/>
      <w:adjustRightInd w:val="0"/>
    </w:pPr>
    <w:rPr>
      <w:rFonts w:ascii="Roboto" w:eastAsiaTheme="minorHAnsi" w:hAnsi="Roboto" w:cs="Arial-BoldMT"/>
      <w:b/>
      <w:bCs/>
      <w:color w:val="005FAB"/>
      <w:sz w:val="40"/>
      <w:szCs w:val="40"/>
    </w:rPr>
  </w:style>
  <w:style w:type="character" w:customStyle="1" w:styleId="PCH2Char">
    <w:name w:val="PCH 2 Char"/>
    <w:basedOn w:val="DefaultParagraphFont"/>
    <w:link w:val="PCH2"/>
    <w:rsid w:val="00021CE8"/>
    <w:rPr>
      <w:rFonts w:ascii="Roboto" w:eastAsiaTheme="minorHAnsi" w:hAnsi="Roboto" w:cs="Arial-BoldMT"/>
      <w:b/>
      <w:bCs/>
      <w:color w:val="005FAB"/>
      <w:sz w:val="40"/>
      <w:szCs w:val="40"/>
      <w:lang w:val="en-GB"/>
    </w:rPr>
  </w:style>
  <w:style w:type="paragraph" w:styleId="Revision">
    <w:name w:val="Revision"/>
    <w:hidden/>
    <w:uiPriority w:val="99"/>
    <w:semiHidden/>
    <w:rsid w:val="004E17B5"/>
    <w:rPr>
      <w:lang w:val="en-GB"/>
    </w:rPr>
  </w:style>
  <w:style w:type="paragraph" w:customStyle="1" w:styleId="Recspara">
    <w:name w:val="Recs para"/>
    <w:basedOn w:val="Normal"/>
    <w:link w:val="RecsparaChar"/>
    <w:qFormat/>
    <w:rsid w:val="00E3137D"/>
    <w:pPr>
      <w:spacing w:after="240"/>
      <w:ind w:left="567"/>
    </w:pPr>
    <w:rPr>
      <w:rFonts w:eastAsiaTheme="minorHAnsi" w:cstheme="minorHAnsi"/>
      <w:i/>
      <w:iCs/>
      <w:color w:val="373266" w:themeColor="text2"/>
      <w:szCs w:val="22"/>
    </w:rPr>
  </w:style>
  <w:style w:type="character" w:customStyle="1" w:styleId="RecsparaChar">
    <w:name w:val="Recs para Char"/>
    <w:basedOn w:val="DefaultParagraphFont"/>
    <w:link w:val="Recspara"/>
    <w:rsid w:val="00E3137D"/>
    <w:rPr>
      <w:rFonts w:eastAsiaTheme="minorHAnsi" w:cstheme="minorHAnsi"/>
      <w:i/>
      <w:iCs/>
      <w:color w:val="373266" w:themeColor="text2"/>
      <w:szCs w:val="22"/>
      <w:lang w:val="en-GB"/>
    </w:rPr>
  </w:style>
  <w:style w:type="paragraph" w:customStyle="1" w:styleId="Choiceheadings">
    <w:name w:val="Choice headings"/>
    <w:basedOn w:val="Normal"/>
    <w:rsid w:val="00E3137D"/>
    <w:pPr>
      <w:numPr>
        <w:numId w:val="5"/>
      </w:numPr>
      <w:ind w:left="425" w:hanging="425"/>
    </w:pPr>
    <w:rPr>
      <w:rFonts w:ascii="Rubik SemiBold" w:eastAsia="Times New Roman" w:hAnsi="Rubik SemiBold" w:cs="Rubik SemiBold"/>
      <w:caps/>
      <w:color w:val="0070C0" w:themeColor="accent1"/>
    </w:rPr>
  </w:style>
  <w:style w:type="paragraph" w:customStyle="1" w:styleId="FalkirkHeading1">
    <w:name w:val="Falkirk Heading 1"/>
    <w:basedOn w:val="Choiceheadings"/>
    <w:link w:val="FalkirkHeading1Char"/>
    <w:qFormat/>
    <w:rsid w:val="00E3137D"/>
    <w:rPr>
      <w:rFonts w:ascii="Rubik" w:eastAsiaTheme="majorEastAsia" w:hAnsi="Rubik" w:cstheme="majorBidi"/>
      <w:b/>
      <w:bCs/>
      <w:caps w:val="0"/>
      <w:smallCaps/>
      <w:color w:val="373266"/>
      <w:spacing w:val="40"/>
      <w:sz w:val="28"/>
      <w:szCs w:val="32"/>
    </w:rPr>
  </w:style>
  <w:style w:type="character" w:customStyle="1" w:styleId="FalkirkHeading1Char">
    <w:name w:val="Falkirk Heading 1 Char"/>
    <w:basedOn w:val="DefaultParagraphFont"/>
    <w:link w:val="FalkirkHeading1"/>
    <w:rsid w:val="00E3137D"/>
    <w:rPr>
      <w:rFonts w:ascii="Rubik" w:eastAsiaTheme="majorEastAsia" w:hAnsi="Rubik" w:cstheme="majorBidi"/>
      <w:b/>
      <w:bCs/>
      <w:smallCaps/>
      <w:color w:val="373266"/>
      <w:spacing w:val="40"/>
      <w:sz w:val="28"/>
      <w:szCs w:val="32"/>
      <w:lang w:val="en-GB"/>
    </w:rPr>
  </w:style>
  <w:style w:type="paragraph" w:customStyle="1" w:styleId="OCCcolumnbullet">
    <w:name w:val="OCC column bullet"/>
    <w:basedOn w:val="Arkbullet1"/>
    <w:link w:val="OCCcolumnbulletChar"/>
    <w:qFormat/>
    <w:rsid w:val="00AE63FC"/>
    <w:pPr>
      <w:ind w:left="382" w:hanging="382"/>
    </w:pPr>
    <w:rPr>
      <w:rFonts w:ascii="Noto Sans" w:hAnsi="Noto Sans" w:cs="Noto Sans"/>
      <w:color w:val="auto"/>
      <w:sz w:val="24"/>
      <w:szCs w:val="24"/>
    </w:rPr>
  </w:style>
  <w:style w:type="character" w:customStyle="1" w:styleId="OCCcolumnbulletChar">
    <w:name w:val="OCC column bullet Char"/>
    <w:basedOn w:val="Arkbullet1Char"/>
    <w:link w:val="OCCcolumnbullet"/>
    <w:rsid w:val="00AE63FC"/>
    <w:rPr>
      <w:rFonts w:ascii="Noto Sans" w:hAnsi="Noto Sans" w:cs="Noto Sans"/>
      <w:color w:val="373266" w:themeColor="text2"/>
      <w:sz w:val="22"/>
      <w:szCs w:val="22"/>
      <w:lang w:val="en-GB"/>
    </w:rPr>
  </w:style>
  <w:style w:type="character" w:customStyle="1" w:styleId="SCHbulletChar">
    <w:name w:val="SCH bullet Char"/>
    <w:basedOn w:val="DefaultParagraphFont"/>
    <w:link w:val="SCHbullet"/>
    <w:locked/>
    <w:rsid w:val="00DC634F"/>
    <w:rPr>
      <w:rFonts w:ascii="Azo Sans Lt" w:hAnsi="Azo Sans Lt" w:cs="Arial"/>
    </w:rPr>
  </w:style>
  <w:style w:type="paragraph" w:customStyle="1" w:styleId="SCHbullet">
    <w:name w:val="SCH bullet"/>
    <w:basedOn w:val="ListParagraph"/>
    <w:link w:val="SCHbulletChar"/>
    <w:qFormat/>
    <w:rsid w:val="00DC634F"/>
    <w:pPr>
      <w:ind w:hanging="360"/>
    </w:pPr>
    <w:rPr>
      <w:rFonts w:ascii="Azo Sans Lt" w:hAnsi="Azo Sans Lt" w:cs="Arial"/>
      <w:lang w:val="en-US"/>
    </w:rPr>
  </w:style>
  <w:style w:type="paragraph" w:customStyle="1" w:styleId="Hvybullet1">
    <w:name w:val="Hvy bullet 1"/>
    <w:basedOn w:val="Normal"/>
    <w:rsid w:val="00AE63FC"/>
    <w:pPr>
      <w:numPr>
        <w:numId w:val="6"/>
      </w:numPr>
      <w:autoSpaceDE w:val="0"/>
      <w:autoSpaceDN w:val="0"/>
      <w:adjustRightInd w:val="0"/>
    </w:pPr>
    <w:rPr>
      <w:rFonts w:ascii="GillSansNova-Book" w:eastAsiaTheme="minorHAnsi" w:hAnsi="GillSansNova-Book" w:cs="GillSansNova-Book"/>
      <w:color w:val="000000"/>
      <w:sz w:val="28"/>
      <w:szCs w:val="28"/>
    </w:rPr>
  </w:style>
  <w:style w:type="paragraph" w:customStyle="1" w:styleId="OCCbullet2">
    <w:name w:val="OCC bullet 2"/>
    <w:basedOn w:val="OCCcolumnbullet"/>
    <w:link w:val="OCCbullet2Char"/>
    <w:qFormat/>
    <w:rsid w:val="00FF0141"/>
    <w:pPr>
      <w:numPr>
        <w:ilvl w:val="1"/>
        <w:numId w:val="8"/>
      </w:numPr>
      <w:tabs>
        <w:tab w:val="left" w:pos="810"/>
      </w:tabs>
      <w:ind w:left="810"/>
    </w:pPr>
  </w:style>
  <w:style w:type="character" w:customStyle="1" w:styleId="OCCbullet2Char">
    <w:name w:val="OCC bullet 2 Char"/>
    <w:basedOn w:val="OCCcolumnbulletChar"/>
    <w:link w:val="OCCbullet2"/>
    <w:rsid w:val="00FF0141"/>
    <w:rPr>
      <w:rFonts w:ascii="Noto Sans" w:hAnsi="Noto Sans" w:cs="Noto Sans"/>
      <w:color w:val="373266" w:themeColor="text2"/>
      <w:sz w:val="22"/>
      <w:szCs w:val="22"/>
      <w:lang w:val="en-GB"/>
    </w:rPr>
  </w:style>
  <w:style w:type="paragraph" w:customStyle="1" w:styleId="Trivallisbullet1">
    <w:name w:val="Trivallis bullet 1"/>
    <w:basedOn w:val="Normal"/>
    <w:link w:val="Trivallisbullet1Char"/>
    <w:qFormat/>
    <w:rsid w:val="00006688"/>
    <w:pPr>
      <w:numPr>
        <w:numId w:val="9"/>
      </w:numPr>
      <w:jc w:val="both"/>
    </w:pPr>
    <w:rPr>
      <w:rFonts w:ascii="Lato" w:eastAsia="Times New Roman" w:hAnsi="Lato" w:cs="Arial"/>
      <w:color w:val="666666"/>
      <w:lang w:eastAsia="en-GB"/>
    </w:rPr>
  </w:style>
  <w:style w:type="character" w:customStyle="1" w:styleId="Trivallisbullet1Char">
    <w:name w:val="Trivallis bullet 1 Char"/>
    <w:basedOn w:val="DefaultParagraphFont"/>
    <w:link w:val="Trivallisbullet1"/>
    <w:rsid w:val="00006688"/>
    <w:rPr>
      <w:rFonts w:ascii="Lato" w:eastAsia="Times New Roman" w:hAnsi="Lato" w:cs="Arial"/>
      <w:color w:val="666666"/>
      <w:lang w:val="en-GB" w:eastAsia="en-GB"/>
    </w:rPr>
  </w:style>
  <w:style w:type="paragraph" w:customStyle="1" w:styleId="TVStext">
    <w:name w:val="TVS text"/>
    <w:basedOn w:val="Normal"/>
    <w:link w:val="TVStextChar"/>
    <w:qFormat/>
    <w:rsid w:val="00006688"/>
    <w:pPr>
      <w:jc w:val="both"/>
    </w:pPr>
    <w:rPr>
      <w:rFonts w:ascii="Lato" w:eastAsia="Times New Roman" w:hAnsi="Lato" w:cs="Arial"/>
      <w:color w:val="666666"/>
      <w:lang w:eastAsia="en-GB"/>
    </w:rPr>
  </w:style>
  <w:style w:type="character" w:customStyle="1" w:styleId="TVStextChar">
    <w:name w:val="TVS text Char"/>
    <w:basedOn w:val="DefaultParagraphFont"/>
    <w:link w:val="TVStext"/>
    <w:rsid w:val="00006688"/>
    <w:rPr>
      <w:rFonts w:ascii="Lato" w:eastAsia="Times New Roman" w:hAnsi="Lato" w:cs="Arial"/>
      <w:color w:val="666666"/>
      <w:lang w:val="en-GB" w:eastAsia="en-GB"/>
    </w:rPr>
  </w:style>
  <w:style w:type="paragraph" w:customStyle="1" w:styleId="TVSHeading2">
    <w:name w:val="TVS Heading 2"/>
    <w:basedOn w:val="Normal"/>
    <w:link w:val="TVSHeading2Char"/>
    <w:qFormat/>
    <w:rsid w:val="00006688"/>
    <w:rPr>
      <w:rFonts w:ascii="Lato" w:eastAsiaTheme="majorEastAsia" w:hAnsi="Lato" w:cs="Arial"/>
      <w:b/>
      <w:bCs/>
      <w:szCs w:val="28"/>
    </w:rPr>
  </w:style>
  <w:style w:type="character" w:customStyle="1" w:styleId="TVSHeading2Char">
    <w:name w:val="TVS Heading 2 Char"/>
    <w:basedOn w:val="DefaultParagraphFont"/>
    <w:link w:val="TVSHeading2"/>
    <w:rsid w:val="00006688"/>
    <w:rPr>
      <w:rFonts w:ascii="Lato" w:eastAsiaTheme="majorEastAsia" w:hAnsi="Lato" w:cs="Arial"/>
      <w:b/>
      <w:bCs/>
      <w:szCs w:val="28"/>
      <w:lang w:val="en-GB"/>
    </w:rPr>
  </w:style>
  <w:style w:type="character" w:customStyle="1" w:styleId="BoxbulletChar">
    <w:name w:val="Box bullet Char"/>
    <w:basedOn w:val="DefaultParagraphFont"/>
    <w:link w:val="Boxbullet"/>
    <w:locked/>
    <w:rsid w:val="005E3EC5"/>
    <w:rPr>
      <w:rFonts w:ascii="Open Sans" w:hAnsi="Open Sans" w:cs="Arial"/>
      <w:color w:val="FFFFFF" w:themeColor="background1"/>
      <w:lang w:eastAsia="en-GB"/>
    </w:rPr>
  </w:style>
  <w:style w:type="paragraph" w:customStyle="1" w:styleId="Boxbullet">
    <w:name w:val="Box bullet"/>
    <w:basedOn w:val="PCHbullet"/>
    <w:link w:val="BoxbulletChar"/>
    <w:qFormat/>
    <w:rsid w:val="005E3EC5"/>
    <w:pPr>
      <w:numPr>
        <w:numId w:val="1"/>
      </w:numPr>
    </w:pPr>
    <w:rPr>
      <w:color w:val="FFFFFF" w:themeColor="background1"/>
      <w:lang w:eastAsia="en-GB"/>
    </w:rPr>
  </w:style>
  <w:style w:type="table" w:customStyle="1" w:styleId="TableGrid1">
    <w:name w:val="Table Grid1"/>
    <w:basedOn w:val="TableNormal"/>
    <w:next w:val="TableGrid"/>
    <w:uiPriority w:val="39"/>
    <w:rsid w:val="00287AC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77F8B"/>
    <w:rPr>
      <w:sz w:val="20"/>
      <w:szCs w:val="20"/>
      <w:lang w:val="en-US"/>
    </w:rPr>
  </w:style>
  <w:style w:type="character" w:customStyle="1" w:styleId="FootnoteTextChar">
    <w:name w:val="Footnote Text Char"/>
    <w:basedOn w:val="DefaultParagraphFont"/>
    <w:link w:val="FootnoteText"/>
    <w:uiPriority w:val="99"/>
    <w:semiHidden/>
    <w:rsid w:val="00B77F8B"/>
    <w:rPr>
      <w:sz w:val="20"/>
      <w:szCs w:val="20"/>
    </w:rPr>
  </w:style>
  <w:style w:type="character" w:styleId="FootnoteReference">
    <w:name w:val="footnote reference"/>
    <w:basedOn w:val="DefaultParagraphFont"/>
    <w:uiPriority w:val="99"/>
    <w:semiHidden/>
    <w:unhideWhenUsed/>
    <w:rsid w:val="00B77F8B"/>
    <w:rPr>
      <w:vertAlign w:val="superscript"/>
    </w:rPr>
  </w:style>
  <w:style w:type="paragraph" w:customStyle="1" w:styleId="SCH2">
    <w:name w:val="SCH 2"/>
    <w:basedOn w:val="Normal"/>
    <w:link w:val="SCH2Char"/>
    <w:qFormat/>
    <w:rsid w:val="00242F9D"/>
    <w:pPr>
      <w:spacing w:after="160" w:line="259" w:lineRule="auto"/>
    </w:pPr>
    <w:rPr>
      <w:rFonts w:ascii="Azo Sans Lt" w:eastAsiaTheme="minorHAnsi" w:hAnsi="Azo Sans Lt"/>
      <w:color w:val="FF3300"/>
      <w:sz w:val="28"/>
      <w:szCs w:val="28"/>
    </w:rPr>
  </w:style>
  <w:style w:type="character" w:customStyle="1" w:styleId="SCH2Char">
    <w:name w:val="SCH 2 Char"/>
    <w:basedOn w:val="DefaultParagraphFont"/>
    <w:link w:val="SCH2"/>
    <w:rsid w:val="00242F9D"/>
    <w:rPr>
      <w:rFonts w:ascii="Azo Sans Lt" w:eastAsiaTheme="minorHAnsi" w:hAnsi="Azo Sans Lt"/>
      <w:color w:val="FF3300"/>
      <w:sz w:val="28"/>
      <w:szCs w:val="28"/>
      <w:lang w:val="en-GB"/>
    </w:rPr>
  </w:style>
  <w:style w:type="paragraph" w:customStyle="1" w:styleId="Solihullbody">
    <w:name w:val="Solihull body"/>
    <w:basedOn w:val="Normal"/>
    <w:link w:val="SolihullbodyChar"/>
    <w:qFormat/>
    <w:rsid w:val="00242F9D"/>
    <w:pPr>
      <w:autoSpaceDE w:val="0"/>
      <w:autoSpaceDN w:val="0"/>
      <w:adjustRightInd w:val="0"/>
      <w:spacing w:after="120" w:line="276" w:lineRule="auto"/>
    </w:pPr>
    <w:rPr>
      <w:rFonts w:ascii="Azo Sans Lt" w:hAnsi="Azo Sans Lt" w:cs="AzoSans-Light"/>
      <w:lang w:eastAsia="en-GB"/>
    </w:rPr>
  </w:style>
  <w:style w:type="character" w:customStyle="1" w:styleId="SolihullbodyChar">
    <w:name w:val="Solihull body Char"/>
    <w:basedOn w:val="DefaultParagraphFont"/>
    <w:link w:val="Solihullbody"/>
    <w:rsid w:val="00242F9D"/>
    <w:rPr>
      <w:rFonts w:ascii="Azo Sans Lt" w:hAnsi="Azo Sans Lt" w:cs="AzoSans-Light"/>
      <w:lang w:val="en-GB" w:eastAsia="en-GB"/>
    </w:rPr>
  </w:style>
  <w:style w:type="paragraph" w:customStyle="1" w:styleId="PCH1b">
    <w:name w:val="PCH 1b"/>
    <w:basedOn w:val="Normal"/>
    <w:link w:val="PCH1bChar"/>
    <w:qFormat/>
    <w:rsid w:val="00E23C55"/>
    <w:pPr>
      <w:spacing w:after="160" w:line="259" w:lineRule="auto"/>
    </w:pPr>
    <w:rPr>
      <w:rFonts w:ascii="Roboto" w:eastAsiaTheme="minorHAnsi" w:hAnsi="Roboto" w:cs="Open Sans"/>
      <w:b/>
      <w:bCs/>
      <w:color w:val="E60039"/>
      <w:sz w:val="32"/>
      <w:szCs w:val="32"/>
      <w:lang w:eastAsia="en-GB"/>
    </w:rPr>
  </w:style>
  <w:style w:type="character" w:customStyle="1" w:styleId="PCH1bChar">
    <w:name w:val="PCH 1b Char"/>
    <w:basedOn w:val="DefaultParagraphFont"/>
    <w:link w:val="PCH1b"/>
    <w:rsid w:val="00E23C55"/>
    <w:rPr>
      <w:rFonts w:ascii="Roboto" w:eastAsiaTheme="minorHAnsi" w:hAnsi="Roboto" w:cs="Open Sans"/>
      <w:b/>
      <w:bCs/>
      <w:color w:val="E60039"/>
      <w:sz w:val="32"/>
      <w:szCs w:val="32"/>
      <w:lang w:val="en-GB" w:eastAsia="en-GB"/>
    </w:rPr>
  </w:style>
  <w:style w:type="paragraph" w:customStyle="1" w:styleId="PCHbody">
    <w:name w:val="PCH body"/>
    <w:basedOn w:val="Normal"/>
    <w:link w:val="PCHbodyChar"/>
    <w:qFormat/>
    <w:rsid w:val="00E23C55"/>
    <w:pPr>
      <w:spacing w:after="160" w:line="259" w:lineRule="auto"/>
    </w:pPr>
    <w:rPr>
      <w:rFonts w:ascii="Open Sans" w:eastAsiaTheme="minorHAnsi" w:hAnsi="Open Sans" w:cs="Open Sans"/>
      <w:color w:val="666666"/>
      <w:lang w:eastAsia="en-GB"/>
    </w:rPr>
  </w:style>
  <w:style w:type="character" w:customStyle="1" w:styleId="PCHbodyChar">
    <w:name w:val="PCH body Char"/>
    <w:basedOn w:val="DefaultParagraphFont"/>
    <w:link w:val="PCHbody"/>
    <w:rsid w:val="00E23C55"/>
    <w:rPr>
      <w:rFonts w:ascii="Open Sans" w:eastAsiaTheme="minorHAnsi" w:hAnsi="Open Sans" w:cs="Open Sans"/>
      <w:color w:val="666666"/>
      <w:lang w:val="en-GB" w:eastAsia="en-GB"/>
    </w:rPr>
  </w:style>
  <w:style w:type="table" w:customStyle="1" w:styleId="TableGrid2">
    <w:name w:val="Table Grid2"/>
    <w:basedOn w:val="TableNormal"/>
    <w:next w:val="TableGrid"/>
    <w:uiPriority w:val="39"/>
    <w:rsid w:val="0058636F"/>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F00A47"/>
    <w:tblPr>
      <w:tblStyleRowBandSize w:val="1"/>
      <w:tblStyleColBandSize w:val="1"/>
      <w:tblBorders>
        <w:top w:val="single" w:sz="4" w:space="0" w:color="7FC9FF" w:themeColor="accent3" w:themeTint="66"/>
        <w:left w:val="single" w:sz="4" w:space="0" w:color="7FC9FF" w:themeColor="accent3" w:themeTint="66"/>
        <w:bottom w:val="single" w:sz="4" w:space="0" w:color="7FC9FF" w:themeColor="accent3" w:themeTint="66"/>
        <w:right w:val="single" w:sz="4" w:space="0" w:color="7FC9FF" w:themeColor="accent3" w:themeTint="66"/>
        <w:insideH w:val="single" w:sz="4" w:space="0" w:color="7FC9FF" w:themeColor="accent3" w:themeTint="66"/>
        <w:insideV w:val="single" w:sz="4" w:space="0" w:color="7FC9FF" w:themeColor="accent3" w:themeTint="66"/>
      </w:tblBorders>
    </w:tblPr>
    <w:tblStylePr w:type="firstRow">
      <w:rPr>
        <w:b/>
        <w:bCs/>
      </w:rPr>
      <w:tblPr/>
      <w:tcPr>
        <w:tcBorders>
          <w:bottom w:val="single" w:sz="12" w:space="0" w:color="40AEFF" w:themeColor="accent3" w:themeTint="99"/>
        </w:tcBorders>
      </w:tcPr>
    </w:tblStylePr>
    <w:tblStylePr w:type="lastRow">
      <w:rPr>
        <w:b/>
        <w:bCs/>
      </w:rPr>
      <w:tblPr/>
      <w:tcPr>
        <w:tcBorders>
          <w:top w:val="double" w:sz="2" w:space="0" w:color="40AEFF"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74">
      <w:bodyDiv w:val="1"/>
      <w:marLeft w:val="0"/>
      <w:marRight w:val="0"/>
      <w:marTop w:val="0"/>
      <w:marBottom w:val="0"/>
      <w:divBdr>
        <w:top w:val="none" w:sz="0" w:space="0" w:color="auto"/>
        <w:left w:val="none" w:sz="0" w:space="0" w:color="auto"/>
        <w:bottom w:val="none" w:sz="0" w:space="0" w:color="auto"/>
        <w:right w:val="none" w:sz="0" w:space="0" w:color="auto"/>
      </w:divBdr>
    </w:div>
    <w:div w:id="12151725">
      <w:bodyDiv w:val="1"/>
      <w:marLeft w:val="0"/>
      <w:marRight w:val="0"/>
      <w:marTop w:val="0"/>
      <w:marBottom w:val="0"/>
      <w:divBdr>
        <w:top w:val="none" w:sz="0" w:space="0" w:color="auto"/>
        <w:left w:val="none" w:sz="0" w:space="0" w:color="auto"/>
        <w:bottom w:val="none" w:sz="0" w:space="0" w:color="auto"/>
        <w:right w:val="none" w:sz="0" w:space="0" w:color="auto"/>
      </w:divBdr>
    </w:div>
    <w:div w:id="20517934">
      <w:bodyDiv w:val="1"/>
      <w:marLeft w:val="0"/>
      <w:marRight w:val="0"/>
      <w:marTop w:val="0"/>
      <w:marBottom w:val="0"/>
      <w:divBdr>
        <w:top w:val="none" w:sz="0" w:space="0" w:color="auto"/>
        <w:left w:val="none" w:sz="0" w:space="0" w:color="auto"/>
        <w:bottom w:val="none" w:sz="0" w:space="0" w:color="auto"/>
        <w:right w:val="none" w:sz="0" w:space="0" w:color="auto"/>
      </w:divBdr>
      <w:divsChild>
        <w:div w:id="1244489638">
          <w:marLeft w:val="547"/>
          <w:marRight w:val="0"/>
          <w:marTop w:val="0"/>
          <w:marBottom w:val="0"/>
          <w:divBdr>
            <w:top w:val="none" w:sz="0" w:space="0" w:color="auto"/>
            <w:left w:val="none" w:sz="0" w:space="0" w:color="auto"/>
            <w:bottom w:val="none" w:sz="0" w:space="0" w:color="auto"/>
            <w:right w:val="none" w:sz="0" w:space="0" w:color="auto"/>
          </w:divBdr>
        </w:div>
      </w:divsChild>
    </w:div>
    <w:div w:id="25184449">
      <w:bodyDiv w:val="1"/>
      <w:marLeft w:val="0"/>
      <w:marRight w:val="0"/>
      <w:marTop w:val="0"/>
      <w:marBottom w:val="0"/>
      <w:divBdr>
        <w:top w:val="none" w:sz="0" w:space="0" w:color="auto"/>
        <w:left w:val="none" w:sz="0" w:space="0" w:color="auto"/>
        <w:bottom w:val="none" w:sz="0" w:space="0" w:color="auto"/>
        <w:right w:val="none" w:sz="0" w:space="0" w:color="auto"/>
      </w:divBdr>
    </w:div>
    <w:div w:id="34892631">
      <w:bodyDiv w:val="1"/>
      <w:marLeft w:val="0"/>
      <w:marRight w:val="0"/>
      <w:marTop w:val="0"/>
      <w:marBottom w:val="0"/>
      <w:divBdr>
        <w:top w:val="none" w:sz="0" w:space="0" w:color="auto"/>
        <w:left w:val="none" w:sz="0" w:space="0" w:color="auto"/>
        <w:bottom w:val="none" w:sz="0" w:space="0" w:color="auto"/>
        <w:right w:val="none" w:sz="0" w:space="0" w:color="auto"/>
      </w:divBdr>
    </w:div>
    <w:div w:id="50270829">
      <w:bodyDiv w:val="1"/>
      <w:marLeft w:val="0"/>
      <w:marRight w:val="0"/>
      <w:marTop w:val="0"/>
      <w:marBottom w:val="0"/>
      <w:divBdr>
        <w:top w:val="none" w:sz="0" w:space="0" w:color="auto"/>
        <w:left w:val="none" w:sz="0" w:space="0" w:color="auto"/>
        <w:bottom w:val="none" w:sz="0" w:space="0" w:color="auto"/>
        <w:right w:val="none" w:sz="0" w:space="0" w:color="auto"/>
      </w:divBdr>
      <w:divsChild>
        <w:div w:id="1294943263">
          <w:marLeft w:val="547"/>
          <w:marRight w:val="0"/>
          <w:marTop w:val="106"/>
          <w:marBottom w:val="0"/>
          <w:divBdr>
            <w:top w:val="none" w:sz="0" w:space="0" w:color="auto"/>
            <w:left w:val="none" w:sz="0" w:space="0" w:color="auto"/>
            <w:bottom w:val="none" w:sz="0" w:space="0" w:color="auto"/>
            <w:right w:val="none" w:sz="0" w:space="0" w:color="auto"/>
          </w:divBdr>
        </w:div>
      </w:divsChild>
    </w:div>
    <w:div w:id="59527178">
      <w:bodyDiv w:val="1"/>
      <w:marLeft w:val="0"/>
      <w:marRight w:val="0"/>
      <w:marTop w:val="0"/>
      <w:marBottom w:val="0"/>
      <w:divBdr>
        <w:top w:val="none" w:sz="0" w:space="0" w:color="auto"/>
        <w:left w:val="none" w:sz="0" w:space="0" w:color="auto"/>
        <w:bottom w:val="none" w:sz="0" w:space="0" w:color="auto"/>
        <w:right w:val="none" w:sz="0" w:space="0" w:color="auto"/>
      </w:divBdr>
    </w:div>
    <w:div w:id="68426665">
      <w:bodyDiv w:val="1"/>
      <w:marLeft w:val="0"/>
      <w:marRight w:val="0"/>
      <w:marTop w:val="0"/>
      <w:marBottom w:val="0"/>
      <w:divBdr>
        <w:top w:val="none" w:sz="0" w:space="0" w:color="auto"/>
        <w:left w:val="none" w:sz="0" w:space="0" w:color="auto"/>
        <w:bottom w:val="none" w:sz="0" w:space="0" w:color="auto"/>
        <w:right w:val="none" w:sz="0" w:space="0" w:color="auto"/>
      </w:divBdr>
      <w:divsChild>
        <w:div w:id="165558993">
          <w:marLeft w:val="360"/>
          <w:marRight w:val="0"/>
          <w:marTop w:val="200"/>
          <w:marBottom w:val="0"/>
          <w:divBdr>
            <w:top w:val="none" w:sz="0" w:space="0" w:color="auto"/>
            <w:left w:val="none" w:sz="0" w:space="0" w:color="auto"/>
            <w:bottom w:val="none" w:sz="0" w:space="0" w:color="auto"/>
            <w:right w:val="none" w:sz="0" w:space="0" w:color="auto"/>
          </w:divBdr>
        </w:div>
        <w:div w:id="197814199">
          <w:marLeft w:val="360"/>
          <w:marRight w:val="0"/>
          <w:marTop w:val="200"/>
          <w:marBottom w:val="0"/>
          <w:divBdr>
            <w:top w:val="none" w:sz="0" w:space="0" w:color="auto"/>
            <w:left w:val="none" w:sz="0" w:space="0" w:color="auto"/>
            <w:bottom w:val="none" w:sz="0" w:space="0" w:color="auto"/>
            <w:right w:val="none" w:sz="0" w:space="0" w:color="auto"/>
          </w:divBdr>
        </w:div>
        <w:div w:id="728571367">
          <w:marLeft w:val="360"/>
          <w:marRight w:val="0"/>
          <w:marTop w:val="200"/>
          <w:marBottom w:val="0"/>
          <w:divBdr>
            <w:top w:val="none" w:sz="0" w:space="0" w:color="auto"/>
            <w:left w:val="none" w:sz="0" w:space="0" w:color="auto"/>
            <w:bottom w:val="none" w:sz="0" w:space="0" w:color="auto"/>
            <w:right w:val="none" w:sz="0" w:space="0" w:color="auto"/>
          </w:divBdr>
        </w:div>
        <w:div w:id="1074275987">
          <w:marLeft w:val="360"/>
          <w:marRight w:val="0"/>
          <w:marTop w:val="200"/>
          <w:marBottom w:val="0"/>
          <w:divBdr>
            <w:top w:val="none" w:sz="0" w:space="0" w:color="auto"/>
            <w:left w:val="none" w:sz="0" w:space="0" w:color="auto"/>
            <w:bottom w:val="none" w:sz="0" w:space="0" w:color="auto"/>
            <w:right w:val="none" w:sz="0" w:space="0" w:color="auto"/>
          </w:divBdr>
        </w:div>
        <w:div w:id="1968777366">
          <w:marLeft w:val="360"/>
          <w:marRight w:val="0"/>
          <w:marTop w:val="200"/>
          <w:marBottom w:val="0"/>
          <w:divBdr>
            <w:top w:val="none" w:sz="0" w:space="0" w:color="auto"/>
            <w:left w:val="none" w:sz="0" w:space="0" w:color="auto"/>
            <w:bottom w:val="none" w:sz="0" w:space="0" w:color="auto"/>
            <w:right w:val="none" w:sz="0" w:space="0" w:color="auto"/>
          </w:divBdr>
        </w:div>
      </w:divsChild>
    </w:div>
    <w:div w:id="70127489">
      <w:bodyDiv w:val="1"/>
      <w:marLeft w:val="0"/>
      <w:marRight w:val="0"/>
      <w:marTop w:val="0"/>
      <w:marBottom w:val="0"/>
      <w:divBdr>
        <w:top w:val="none" w:sz="0" w:space="0" w:color="auto"/>
        <w:left w:val="none" w:sz="0" w:space="0" w:color="auto"/>
        <w:bottom w:val="none" w:sz="0" w:space="0" w:color="auto"/>
        <w:right w:val="none" w:sz="0" w:space="0" w:color="auto"/>
      </w:divBdr>
    </w:div>
    <w:div w:id="81798187">
      <w:bodyDiv w:val="1"/>
      <w:marLeft w:val="0"/>
      <w:marRight w:val="0"/>
      <w:marTop w:val="0"/>
      <w:marBottom w:val="0"/>
      <w:divBdr>
        <w:top w:val="none" w:sz="0" w:space="0" w:color="auto"/>
        <w:left w:val="none" w:sz="0" w:space="0" w:color="auto"/>
        <w:bottom w:val="none" w:sz="0" w:space="0" w:color="auto"/>
        <w:right w:val="none" w:sz="0" w:space="0" w:color="auto"/>
      </w:divBdr>
      <w:divsChild>
        <w:div w:id="160200175">
          <w:marLeft w:val="547"/>
          <w:marRight w:val="0"/>
          <w:marTop w:val="0"/>
          <w:marBottom w:val="0"/>
          <w:divBdr>
            <w:top w:val="none" w:sz="0" w:space="0" w:color="auto"/>
            <w:left w:val="none" w:sz="0" w:space="0" w:color="auto"/>
            <w:bottom w:val="none" w:sz="0" w:space="0" w:color="auto"/>
            <w:right w:val="none" w:sz="0" w:space="0" w:color="auto"/>
          </w:divBdr>
        </w:div>
      </w:divsChild>
    </w:div>
    <w:div w:id="88546793">
      <w:bodyDiv w:val="1"/>
      <w:marLeft w:val="0"/>
      <w:marRight w:val="0"/>
      <w:marTop w:val="0"/>
      <w:marBottom w:val="0"/>
      <w:divBdr>
        <w:top w:val="none" w:sz="0" w:space="0" w:color="auto"/>
        <w:left w:val="none" w:sz="0" w:space="0" w:color="auto"/>
        <w:bottom w:val="none" w:sz="0" w:space="0" w:color="auto"/>
        <w:right w:val="none" w:sz="0" w:space="0" w:color="auto"/>
      </w:divBdr>
    </w:div>
    <w:div w:id="102577201">
      <w:bodyDiv w:val="1"/>
      <w:marLeft w:val="0"/>
      <w:marRight w:val="0"/>
      <w:marTop w:val="0"/>
      <w:marBottom w:val="0"/>
      <w:divBdr>
        <w:top w:val="none" w:sz="0" w:space="0" w:color="auto"/>
        <w:left w:val="none" w:sz="0" w:space="0" w:color="auto"/>
        <w:bottom w:val="none" w:sz="0" w:space="0" w:color="auto"/>
        <w:right w:val="none" w:sz="0" w:space="0" w:color="auto"/>
      </w:divBdr>
      <w:divsChild>
        <w:div w:id="1772698321">
          <w:marLeft w:val="547"/>
          <w:marRight w:val="0"/>
          <w:marTop w:val="106"/>
          <w:marBottom w:val="0"/>
          <w:divBdr>
            <w:top w:val="none" w:sz="0" w:space="0" w:color="auto"/>
            <w:left w:val="none" w:sz="0" w:space="0" w:color="auto"/>
            <w:bottom w:val="none" w:sz="0" w:space="0" w:color="auto"/>
            <w:right w:val="none" w:sz="0" w:space="0" w:color="auto"/>
          </w:divBdr>
        </w:div>
        <w:div w:id="2004505725">
          <w:marLeft w:val="547"/>
          <w:marRight w:val="0"/>
          <w:marTop w:val="106"/>
          <w:marBottom w:val="0"/>
          <w:divBdr>
            <w:top w:val="none" w:sz="0" w:space="0" w:color="auto"/>
            <w:left w:val="none" w:sz="0" w:space="0" w:color="auto"/>
            <w:bottom w:val="none" w:sz="0" w:space="0" w:color="auto"/>
            <w:right w:val="none" w:sz="0" w:space="0" w:color="auto"/>
          </w:divBdr>
        </w:div>
      </w:divsChild>
    </w:div>
    <w:div w:id="102921490">
      <w:bodyDiv w:val="1"/>
      <w:marLeft w:val="0"/>
      <w:marRight w:val="0"/>
      <w:marTop w:val="0"/>
      <w:marBottom w:val="0"/>
      <w:divBdr>
        <w:top w:val="none" w:sz="0" w:space="0" w:color="auto"/>
        <w:left w:val="none" w:sz="0" w:space="0" w:color="auto"/>
        <w:bottom w:val="none" w:sz="0" w:space="0" w:color="auto"/>
        <w:right w:val="none" w:sz="0" w:space="0" w:color="auto"/>
      </w:divBdr>
    </w:div>
    <w:div w:id="106706471">
      <w:bodyDiv w:val="1"/>
      <w:marLeft w:val="0"/>
      <w:marRight w:val="0"/>
      <w:marTop w:val="0"/>
      <w:marBottom w:val="0"/>
      <w:divBdr>
        <w:top w:val="none" w:sz="0" w:space="0" w:color="auto"/>
        <w:left w:val="none" w:sz="0" w:space="0" w:color="auto"/>
        <w:bottom w:val="none" w:sz="0" w:space="0" w:color="auto"/>
        <w:right w:val="none" w:sz="0" w:space="0" w:color="auto"/>
      </w:divBdr>
    </w:div>
    <w:div w:id="111824970">
      <w:bodyDiv w:val="1"/>
      <w:marLeft w:val="0"/>
      <w:marRight w:val="0"/>
      <w:marTop w:val="0"/>
      <w:marBottom w:val="0"/>
      <w:divBdr>
        <w:top w:val="none" w:sz="0" w:space="0" w:color="auto"/>
        <w:left w:val="none" w:sz="0" w:space="0" w:color="auto"/>
        <w:bottom w:val="none" w:sz="0" w:space="0" w:color="auto"/>
        <w:right w:val="none" w:sz="0" w:space="0" w:color="auto"/>
      </w:divBdr>
    </w:div>
    <w:div w:id="114367868">
      <w:bodyDiv w:val="1"/>
      <w:marLeft w:val="0"/>
      <w:marRight w:val="0"/>
      <w:marTop w:val="0"/>
      <w:marBottom w:val="0"/>
      <w:divBdr>
        <w:top w:val="none" w:sz="0" w:space="0" w:color="auto"/>
        <w:left w:val="none" w:sz="0" w:space="0" w:color="auto"/>
        <w:bottom w:val="none" w:sz="0" w:space="0" w:color="auto"/>
        <w:right w:val="none" w:sz="0" w:space="0" w:color="auto"/>
      </w:divBdr>
      <w:divsChild>
        <w:div w:id="1143426754">
          <w:marLeft w:val="360"/>
          <w:marRight w:val="0"/>
          <w:marTop w:val="200"/>
          <w:marBottom w:val="0"/>
          <w:divBdr>
            <w:top w:val="none" w:sz="0" w:space="0" w:color="auto"/>
            <w:left w:val="none" w:sz="0" w:space="0" w:color="auto"/>
            <w:bottom w:val="none" w:sz="0" w:space="0" w:color="auto"/>
            <w:right w:val="none" w:sz="0" w:space="0" w:color="auto"/>
          </w:divBdr>
        </w:div>
      </w:divsChild>
    </w:div>
    <w:div w:id="139924049">
      <w:bodyDiv w:val="1"/>
      <w:marLeft w:val="0"/>
      <w:marRight w:val="0"/>
      <w:marTop w:val="0"/>
      <w:marBottom w:val="0"/>
      <w:divBdr>
        <w:top w:val="none" w:sz="0" w:space="0" w:color="auto"/>
        <w:left w:val="none" w:sz="0" w:space="0" w:color="auto"/>
        <w:bottom w:val="none" w:sz="0" w:space="0" w:color="auto"/>
        <w:right w:val="none" w:sz="0" w:space="0" w:color="auto"/>
      </w:divBdr>
    </w:div>
    <w:div w:id="142745439">
      <w:bodyDiv w:val="1"/>
      <w:marLeft w:val="0"/>
      <w:marRight w:val="0"/>
      <w:marTop w:val="0"/>
      <w:marBottom w:val="0"/>
      <w:divBdr>
        <w:top w:val="none" w:sz="0" w:space="0" w:color="auto"/>
        <w:left w:val="none" w:sz="0" w:space="0" w:color="auto"/>
        <w:bottom w:val="none" w:sz="0" w:space="0" w:color="auto"/>
        <w:right w:val="none" w:sz="0" w:space="0" w:color="auto"/>
      </w:divBdr>
    </w:div>
    <w:div w:id="168836711">
      <w:bodyDiv w:val="1"/>
      <w:marLeft w:val="0"/>
      <w:marRight w:val="0"/>
      <w:marTop w:val="0"/>
      <w:marBottom w:val="0"/>
      <w:divBdr>
        <w:top w:val="none" w:sz="0" w:space="0" w:color="auto"/>
        <w:left w:val="none" w:sz="0" w:space="0" w:color="auto"/>
        <w:bottom w:val="none" w:sz="0" w:space="0" w:color="auto"/>
        <w:right w:val="none" w:sz="0" w:space="0" w:color="auto"/>
      </w:divBdr>
    </w:div>
    <w:div w:id="170485913">
      <w:bodyDiv w:val="1"/>
      <w:marLeft w:val="0"/>
      <w:marRight w:val="0"/>
      <w:marTop w:val="0"/>
      <w:marBottom w:val="0"/>
      <w:divBdr>
        <w:top w:val="none" w:sz="0" w:space="0" w:color="auto"/>
        <w:left w:val="none" w:sz="0" w:space="0" w:color="auto"/>
        <w:bottom w:val="none" w:sz="0" w:space="0" w:color="auto"/>
        <w:right w:val="none" w:sz="0" w:space="0" w:color="auto"/>
      </w:divBdr>
    </w:div>
    <w:div w:id="170535608">
      <w:bodyDiv w:val="1"/>
      <w:marLeft w:val="0"/>
      <w:marRight w:val="0"/>
      <w:marTop w:val="0"/>
      <w:marBottom w:val="0"/>
      <w:divBdr>
        <w:top w:val="none" w:sz="0" w:space="0" w:color="auto"/>
        <w:left w:val="none" w:sz="0" w:space="0" w:color="auto"/>
        <w:bottom w:val="none" w:sz="0" w:space="0" w:color="auto"/>
        <w:right w:val="none" w:sz="0" w:space="0" w:color="auto"/>
      </w:divBdr>
    </w:div>
    <w:div w:id="181479371">
      <w:bodyDiv w:val="1"/>
      <w:marLeft w:val="0"/>
      <w:marRight w:val="0"/>
      <w:marTop w:val="0"/>
      <w:marBottom w:val="0"/>
      <w:divBdr>
        <w:top w:val="none" w:sz="0" w:space="0" w:color="auto"/>
        <w:left w:val="none" w:sz="0" w:space="0" w:color="auto"/>
        <w:bottom w:val="none" w:sz="0" w:space="0" w:color="auto"/>
        <w:right w:val="none" w:sz="0" w:space="0" w:color="auto"/>
      </w:divBdr>
    </w:div>
    <w:div w:id="192619519">
      <w:bodyDiv w:val="1"/>
      <w:marLeft w:val="0"/>
      <w:marRight w:val="0"/>
      <w:marTop w:val="0"/>
      <w:marBottom w:val="0"/>
      <w:divBdr>
        <w:top w:val="none" w:sz="0" w:space="0" w:color="auto"/>
        <w:left w:val="none" w:sz="0" w:space="0" w:color="auto"/>
        <w:bottom w:val="none" w:sz="0" w:space="0" w:color="auto"/>
        <w:right w:val="none" w:sz="0" w:space="0" w:color="auto"/>
      </w:divBdr>
      <w:divsChild>
        <w:div w:id="195043924">
          <w:marLeft w:val="547"/>
          <w:marRight w:val="0"/>
          <w:marTop w:val="106"/>
          <w:marBottom w:val="0"/>
          <w:divBdr>
            <w:top w:val="none" w:sz="0" w:space="0" w:color="auto"/>
            <w:left w:val="none" w:sz="0" w:space="0" w:color="auto"/>
            <w:bottom w:val="none" w:sz="0" w:space="0" w:color="auto"/>
            <w:right w:val="none" w:sz="0" w:space="0" w:color="auto"/>
          </w:divBdr>
        </w:div>
        <w:div w:id="634650779">
          <w:marLeft w:val="547"/>
          <w:marRight w:val="0"/>
          <w:marTop w:val="106"/>
          <w:marBottom w:val="0"/>
          <w:divBdr>
            <w:top w:val="none" w:sz="0" w:space="0" w:color="auto"/>
            <w:left w:val="none" w:sz="0" w:space="0" w:color="auto"/>
            <w:bottom w:val="none" w:sz="0" w:space="0" w:color="auto"/>
            <w:right w:val="none" w:sz="0" w:space="0" w:color="auto"/>
          </w:divBdr>
        </w:div>
        <w:div w:id="1835755840">
          <w:marLeft w:val="547"/>
          <w:marRight w:val="0"/>
          <w:marTop w:val="106"/>
          <w:marBottom w:val="0"/>
          <w:divBdr>
            <w:top w:val="none" w:sz="0" w:space="0" w:color="auto"/>
            <w:left w:val="none" w:sz="0" w:space="0" w:color="auto"/>
            <w:bottom w:val="none" w:sz="0" w:space="0" w:color="auto"/>
            <w:right w:val="none" w:sz="0" w:space="0" w:color="auto"/>
          </w:divBdr>
        </w:div>
        <w:div w:id="1932884071">
          <w:marLeft w:val="547"/>
          <w:marRight w:val="0"/>
          <w:marTop w:val="106"/>
          <w:marBottom w:val="0"/>
          <w:divBdr>
            <w:top w:val="none" w:sz="0" w:space="0" w:color="auto"/>
            <w:left w:val="none" w:sz="0" w:space="0" w:color="auto"/>
            <w:bottom w:val="none" w:sz="0" w:space="0" w:color="auto"/>
            <w:right w:val="none" w:sz="0" w:space="0" w:color="auto"/>
          </w:divBdr>
        </w:div>
      </w:divsChild>
    </w:div>
    <w:div w:id="202910552">
      <w:bodyDiv w:val="1"/>
      <w:marLeft w:val="0"/>
      <w:marRight w:val="0"/>
      <w:marTop w:val="0"/>
      <w:marBottom w:val="0"/>
      <w:divBdr>
        <w:top w:val="none" w:sz="0" w:space="0" w:color="auto"/>
        <w:left w:val="none" w:sz="0" w:space="0" w:color="auto"/>
        <w:bottom w:val="none" w:sz="0" w:space="0" w:color="auto"/>
        <w:right w:val="none" w:sz="0" w:space="0" w:color="auto"/>
      </w:divBdr>
      <w:divsChild>
        <w:div w:id="1216820302">
          <w:marLeft w:val="360"/>
          <w:marRight w:val="0"/>
          <w:marTop w:val="200"/>
          <w:marBottom w:val="0"/>
          <w:divBdr>
            <w:top w:val="none" w:sz="0" w:space="0" w:color="auto"/>
            <w:left w:val="none" w:sz="0" w:space="0" w:color="auto"/>
            <w:bottom w:val="none" w:sz="0" w:space="0" w:color="auto"/>
            <w:right w:val="none" w:sz="0" w:space="0" w:color="auto"/>
          </w:divBdr>
        </w:div>
        <w:div w:id="11611284">
          <w:marLeft w:val="360"/>
          <w:marRight w:val="0"/>
          <w:marTop w:val="200"/>
          <w:marBottom w:val="0"/>
          <w:divBdr>
            <w:top w:val="none" w:sz="0" w:space="0" w:color="auto"/>
            <w:left w:val="none" w:sz="0" w:space="0" w:color="auto"/>
            <w:bottom w:val="none" w:sz="0" w:space="0" w:color="auto"/>
            <w:right w:val="none" w:sz="0" w:space="0" w:color="auto"/>
          </w:divBdr>
        </w:div>
        <w:div w:id="1937597945">
          <w:marLeft w:val="360"/>
          <w:marRight w:val="0"/>
          <w:marTop w:val="200"/>
          <w:marBottom w:val="0"/>
          <w:divBdr>
            <w:top w:val="none" w:sz="0" w:space="0" w:color="auto"/>
            <w:left w:val="none" w:sz="0" w:space="0" w:color="auto"/>
            <w:bottom w:val="none" w:sz="0" w:space="0" w:color="auto"/>
            <w:right w:val="none" w:sz="0" w:space="0" w:color="auto"/>
          </w:divBdr>
        </w:div>
        <w:div w:id="2126650215">
          <w:marLeft w:val="360"/>
          <w:marRight w:val="0"/>
          <w:marTop w:val="200"/>
          <w:marBottom w:val="0"/>
          <w:divBdr>
            <w:top w:val="none" w:sz="0" w:space="0" w:color="auto"/>
            <w:left w:val="none" w:sz="0" w:space="0" w:color="auto"/>
            <w:bottom w:val="none" w:sz="0" w:space="0" w:color="auto"/>
            <w:right w:val="none" w:sz="0" w:space="0" w:color="auto"/>
          </w:divBdr>
        </w:div>
        <w:div w:id="397241623">
          <w:marLeft w:val="360"/>
          <w:marRight w:val="0"/>
          <w:marTop w:val="200"/>
          <w:marBottom w:val="0"/>
          <w:divBdr>
            <w:top w:val="none" w:sz="0" w:space="0" w:color="auto"/>
            <w:left w:val="none" w:sz="0" w:space="0" w:color="auto"/>
            <w:bottom w:val="none" w:sz="0" w:space="0" w:color="auto"/>
            <w:right w:val="none" w:sz="0" w:space="0" w:color="auto"/>
          </w:divBdr>
        </w:div>
        <w:div w:id="435760298">
          <w:marLeft w:val="360"/>
          <w:marRight w:val="0"/>
          <w:marTop w:val="200"/>
          <w:marBottom w:val="0"/>
          <w:divBdr>
            <w:top w:val="none" w:sz="0" w:space="0" w:color="auto"/>
            <w:left w:val="none" w:sz="0" w:space="0" w:color="auto"/>
            <w:bottom w:val="none" w:sz="0" w:space="0" w:color="auto"/>
            <w:right w:val="none" w:sz="0" w:space="0" w:color="auto"/>
          </w:divBdr>
        </w:div>
      </w:divsChild>
    </w:div>
    <w:div w:id="215553411">
      <w:bodyDiv w:val="1"/>
      <w:marLeft w:val="0"/>
      <w:marRight w:val="0"/>
      <w:marTop w:val="0"/>
      <w:marBottom w:val="0"/>
      <w:divBdr>
        <w:top w:val="none" w:sz="0" w:space="0" w:color="auto"/>
        <w:left w:val="none" w:sz="0" w:space="0" w:color="auto"/>
        <w:bottom w:val="none" w:sz="0" w:space="0" w:color="auto"/>
        <w:right w:val="none" w:sz="0" w:space="0" w:color="auto"/>
      </w:divBdr>
      <w:divsChild>
        <w:div w:id="51857622">
          <w:marLeft w:val="547"/>
          <w:marRight w:val="0"/>
          <w:marTop w:val="106"/>
          <w:marBottom w:val="0"/>
          <w:divBdr>
            <w:top w:val="none" w:sz="0" w:space="0" w:color="auto"/>
            <w:left w:val="none" w:sz="0" w:space="0" w:color="auto"/>
            <w:bottom w:val="none" w:sz="0" w:space="0" w:color="auto"/>
            <w:right w:val="none" w:sz="0" w:space="0" w:color="auto"/>
          </w:divBdr>
        </w:div>
        <w:div w:id="458958177">
          <w:marLeft w:val="547"/>
          <w:marRight w:val="0"/>
          <w:marTop w:val="106"/>
          <w:marBottom w:val="0"/>
          <w:divBdr>
            <w:top w:val="none" w:sz="0" w:space="0" w:color="auto"/>
            <w:left w:val="none" w:sz="0" w:space="0" w:color="auto"/>
            <w:bottom w:val="none" w:sz="0" w:space="0" w:color="auto"/>
            <w:right w:val="none" w:sz="0" w:space="0" w:color="auto"/>
          </w:divBdr>
        </w:div>
        <w:div w:id="511334547">
          <w:marLeft w:val="547"/>
          <w:marRight w:val="0"/>
          <w:marTop w:val="106"/>
          <w:marBottom w:val="0"/>
          <w:divBdr>
            <w:top w:val="none" w:sz="0" w:space="0" w:color="auto"/>
            <w:left w:val="none" w:sz="0" w:space="0" w:color="auto"/>
            <w:bottom w:val="none" w:sz="0" w:space="0" w:color="auto"/>
            <w:right w:val="none" w:sz="0" w:space="0" w:color="auto"/>
          </w:divBdr>
        </w:div>
        <w:div w:id="676271983">
          <w:marLeft w:val="547"/>
          <w:marRight w:val="0"/>
          <w:marTop w:val="106"/>
          <w:marBottom w:val="0"/>
          <w:divBdr>
            <w:top w:val="none" w:sz="0" w:space="0" w:color="auto"/>
            <w:left w:val="none" w:sz="0" w:space="0" w:color="auto"/>
            <w:bottom w:val="none" w:sz="0" w:space="0" w:color="auto"/>
            <w:right w:val="none" w:sz="0" w:space="0" w:color="auto"/>
          </w:divBdr>
        </w:div>
        <w:div w:id="1189180544">
          <w:marLeft w:val="547"/>
          <w:marRight w:val="0"/>
          <w:marTop w:val="106"/>
          <w:marBottom w:val="0"/>
          <w:divBdr>
            <w:top w:val="none" w:sz="0" w:space="0" w:color="auto"/>
            <w:left w:val="none" w:sz="0" w:space="0" w:color="auto"/>
            <w:bottom w:val="none" w:sz="0" w:space="0" w:color="auto"/>
            <w:right w:val="none" w:sz="0" w:space="0" w:color="auto"/>
          </w:divBdr>
        </w:div>
        <w:div w:id="1731490637">
          <w:marLeft w:val="547"/>
          <w:marRight w:val="0"/>
          <w:marTop w:val="106"/>
          <w:marBottom w:val="0"/>
          <w:divBdr>
            <w:top w:val="none" w:sz="0" w:space="0" w:color="auto"/>
            <w:left w:val="none" w:sz="0" w:space="0" w:color="auto"/>
            <w:bottom w:val="none" w:sz="0" w:space="0" w:color="auto"/>
            <w:right w:val="none" w:sz="0" w:space="0" w:color="auto"/>
          </w:divBdr>
        </w:div>
      </w:divsChild>
    </w:div>
    <w:div w:id="232353590">
      <w:bodyDiv w:val="1"/>
      <w:marLeft w:val="0"/>
      <w:marRight w:val="0"/>
      <w:marTop w:val="0"/>
      <w:marBottom w:val="0"/>
      <w:divBdr>
        <w:top w:val="none" w:sz="0" w:space="0" w:color="auto"/>
        <w:left w:val="none" w:sz="0" w:space="0" w:color="auto"/>
        <w:bottom w:val="none" w:sz="0" w:space="0" w:color="auto"/>
        <w:right w:val="none" w:sz="0" w:space="0" w:color="auto"/>
      </w:divBdr>
    </w:div>
    <w:div w:id="235214166">
      <w:bodyDiv w:val="1"/>
      <w:marLeft w:val="0"/>
      <w:marRight w:val="0"/>
      <w:marTop w:val="0"/>
      <w:marBottom w:val="0"/>
      <w:divBdr>
        <w:top w:val="none" w:sz="0" w:space="0" w:color="auto"/>
        <w:left w:val="none" w:sz="0" w:space="0" w:color="auto"/>
        <w:bottom w:val="none" w:sz="0" w:space="0" w:color="auto"/>
        <w:right w:val="none" w:sz="0" w:space="0" w:color="auto"/>
      </w:divBdr>
    </w:div>
    <w:div w:id="252857881">
      <w:bodyDiv w:val="1"/>
      <w:marLeft w:val="0"/>
      <w:marRight w:val="0"/>
      <w:marTop w:val="0"/>
      <w:marBottom w:val="0"/>
      <w:divBdr>
        <w:top w:val="none" w:sz="0" w:space="0" w:color="auto"/>
        <w:left w:val="none" w:sz="0" w:space="0" w:color="auto"/>
        <w:bottom w:val="none" w:sz="0" w:space="0" w:color="auto"/>
        <w:right w:val="none" w:sz="0" w:space="0" w:color="auto"/>
      </w:divBdr>
      <w:divsChild>
        <w:div w:id="1448424809">
          <w:marLeft w:val="360"/>
          <w:marRight w:val="0"/>
          <w:marTop w:val="200"/>
          <w:marBottom w:val="0"/>
          <w:divBdr>
            <w:top w:val="none" w:sz="0" w:space="0" w:color="auto"/>
            <w:left w:val="none" w:sz="0" w:space="0" w:color="auto"/>
            <w:bottom w:val="none" w:sz="0" w:space="0" w:color="auto"/>
            <w:right w:val="none" w:sz="0" w:space="0" w:color="auto"/>
          </w:divBdr>
        </w:div>
      </w:divsChild>
    </w:div>
    <w:div w:id="256447503">
      <w:bodyDiv w:val="1"/>
      <w:marLeft w:val="0"/>
      <w:marRight w:val="0"/>
      <w:marTop w:val="0"/>
      <w:marBottom w:val="0"/>
      <w:divBdr>
        <w:top w:val="none" w:sz="0" w:space="0" w:color="auto"/>
        <w:left w:val="none" w:sz="0" w:space="0" w:color="auto"/>
        <w:bottom w:val="none" w:sz="0" w:space="0" w:color="auto"/>
        <w:right w:val="none" w:sz="0" w:space="0" w:color="auto"/>
      </w:divBdr>
    </w:div>
    <w:div w:id="265963662">
      <w:bodyDiv w:val="1"/>
      <w:marLeft w:val="0"/>
      <w:marRight w:val="0"/>
      <w:marTop w:val="0"/>
      <w:marBottom w:val="0"/>
      <w:divBdr>
        <w:top w:val="none" w:sz="0" w:space="0" w:color="auto"/>
        <w:left w:val="none" w:sz="0" w:space="0" w:color="auto"/>
        <w:bottom w:val="none" w:sz="0" w:space="0" w:color="auto"/>
        <w:right w:val="none" w:sz="0" w:space="0" w:color="auto"/>
      </w:divBdr>
    </w:div>
    <w:div w:id="270091853">
      <w:bodyDiv w:val="1"/>
      <w:marLeft w:val="0"/>
      <w:marRight w:val="0"/>
      <w:marTop w:val="0"/>
      <w:marBottom w:val="0"/>
      <w:divBdr>
        <w:top w:val="none" w:sz="0" w:space="0" w:color="auto"/>
        <w:left w:val="none" w:sz="0" w:space="0" w:color="auto"/>
        <w:bottom w:val="none" w:sz="0" w:space="0" w:color="auto"/>
        <w:right w:val="none" w:sz="0" w:space="0" w:color="auto"/>
      </w:divBdr>
      <w:divsChild>
        <w:div w:id="23484209">
          <w:marLeft w:val="547"/>
          <w:marRight w:val="0"/>
          <w:marTop w:val="106"/>
          <w:marBottom w:val="0"/>
          <w:divBdr>
            <w:top w:val="none" w:sz="0" w:space="0" w:color="auto"/>
            <w:left w:val="none" w:sz="0" w:space="0" w:color="auto"/>
            <w:bottom w:val="none" w:sz="0" w:space="0" w:color="auto"/>
            <w:right w:val="none" w:sz="0" w:space="0" w:color="auto"/>
          </w:divBdr>
        </w:div>
        <w:div w:id="201672955">
          <w:marLeft w:val="547"/>
          <w:marRight w:val="0"/>
          <w:marTop w:val="106"/>
          <w:marBottom w:val="0"/>
          <w:divBdr>
            <w:top w:val="none" w:sz="0" w:space="0" w:color="auto"/>
            <w:left w:val="none" w:sz="0" w:space="0" w:color="auto"/>
            <w:bottom w:val="none" w:sz="0" w:space="0" w:color="auto"/>
            <w:right w:val="none" w:sz="0" w:space="0" w:color="auto"/>
          </w:divBdr>
        </w:div>
        <w:div w:id="1755398771">
          <w:marLeft w:val="547"/>
          <w:marRight w:val="0"/>
          <w:marTop w:val="106"/>
          <w:marBottom w:val="0"/>
          <w:divBdr>
            <w:top w:val="none" w:sz="0" w:space="0" w:color="auto"/>
            <w:left w:val="none" w:sz="0" w:space="0" w:color="auto"/>
            <w:bottom w:val="none" w:sz="0" w:space="0" w:color="auto"/>
            <w:right w:val="none" w:sz="0" w:space="0" w:color="auto"/>
          </w:divBdr>
        </w:div>
        <w:div w:id="2129735148">
          <w:marLeft w:val="547"/>
          <w:marRight w:val="0"/>
          <w:marTop w:val="106"/>
          <w:marBottom w:val="0"/>
          <w:divBdr>
            <w:top w:val="none" w:sz="0" w:space="0" w:color="auto"/>
            <w:left w:val="none" w:sz="0" w:space="0" w:color="auto"/>
            <w:bottom w:val="none" w:sz="0" w:space="0" w:color="auto"/>
            <w:right w:val="none" w:sz="0" w:space="0" w:color="auto"/>
          </w:divBdr>
        </w:div>
      </w:divsChild>
    </w:div>
    <w:div w:id="275212600">
      <w:bodyDiv w:val="1"/>
      <w:marLeft w:val="0"/>
      <w:marRight w:val="0"/>
      <w:marTop w:val="0"/>
      <w:marBottom w:val="0"/>
      <w:divBdr>
        <w:top w:val="none" w:sz="0" w:space="0" w:color="auto"/>
        <w:left w:val="none" w:sz="0" w:space="0" w:color="auto"/>
        <w:bottom w:val="none" w:sz="0" w:space="0" w:color="auto"/>
        <w:right w:val="none" w:sz="0" w:space="0" w:color="auto"/>
      </w:divBdr>
    </w:div>
    <w:div w:id="275841239">
      <w:bodyDiv w:val="1"/>
      <w:marLeft w:val="0"/>
      <w:marRight w:val="0"/>
      <w:marTop w:val="0"/>
      <w:marBottom w:val="0"/>
      <w:divBdr>
        <w:top w:val="none" w:sz="0" w:space="0" w:color="auto"/>
        <w:left w:val="none" w:sz="0" w:space="0" w:color="auto"/>
        <w:bottom w:val="none" w:sz="0" w:space="0" w:color="auto"/>
        <w:right w:val="none" w:sz="0" w:space="0" w:color="auto"/>
      </w:divBdr>
    </w:div>
    <w:div w:id="276572041">
      <w:bodyDiv w:val="1"/>
      <w:marLeft w:val="0"/>
      <w:marRight w:val="0"/>
      <w:marTop w:val="0"/>
      <w:marBottom w:val="0"/>
      <w:divBdr>
        <w:top w:val="none" w:sz="0" w:space="0" w:color="auto"/>
        <w:left w:val="none" w:sz="0" w:space="0" w:color="auto"/>
        <w:bottom w:val="none" w:sz="0" w:space="0" w:color="auto"/>
        <w:right w:val="none" w:sz="0" w:space="0" w:color="auto"/>
      </w:divBdr>
    </w:div>
    <w:div w:id="304506229">
      <w:bodyDiv w:val="1"/>
      <w:marLeft w:val="0"/>
      <w:marRight w:val="0"/>
      <w:marTop w:val="0"/>
      <w:marBottom w:val="0"/>
      <w:divBdr>
        <w:top w:val="none" w:sz="0" w:space="0" w:color="auto"/>
        <w:left w:val="none" w:sz="0" w:space="0" w:color="auto"/>
        <w:bottom w:val="none" w:sz="0" w:space="0" w:color="auto"/>
        <w:right w:val="none" w:sz="0" w:space="0" w:color="auto"/>
      </w:divBdr>
    </w:div>
    <w:div w:id="314922542">
      <w:bodyDiv w:val="1"/>
      <w:marLeft w:val="0"/>
      <w:marRight w:val="0"/>
      <w:marTop w:val="0"/>
      <w:marBottom w:val="0"/>
      <w:divBdr>
        <w:top w:val="none" w:sz="0" w:space="0" w:color="auto"/>
        <w:left w:val="none" w:sz="0" w:space="0" w:color="auto"/>
        <w:bottom w:val="none" w:sz="0" w:space="0" w:color="auto"/>
        <w:right w:val="none" w:sz="0" w:space="0" w:color="auto"/>
      </w:divBdr>
    </w:div>
    <w:div w:id="325013975">
      <w:bodyDiv w:val="1"/>
      <w:marLeft w:val="0"/>
      <w:marRight w:val="0"/>
      <w:marTop w:val="0"/>
      <w:marBottom w:val="0"/>
      <w:divBdr>
        <w:top w:val="none" w:sz="0" w:space="0" w:color="auto"/>
        <w:left w:val="none" w:sz="0" w:space="0" w:color="auto"/>
        <w:bottom w:val="none" w:sz="0" w:space="0" w:color="auto"/>
        <w:right w:val="none" w:sz="0" w:space="0" w:color="auto"/>
      </w:divBdr>
    </w:div>
    <w:div w:id="326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3600028">
          <w:marLeft w:val="360"/>
          <w:marRight w:val="0"/>
          <w:marTop w:val="200"/>
          <w:marBottom w:val="0"/>
          <w:divBdr>
            <w:top w:val="none" w:sz="0" w:space="0" w:color="auto"/>
            <w:left w:val="none" w:sz="0" w:space="0" w:color="auto"/>
            <w:bottom w:val="none" w:sz="0" w:space="0" w:color="auto"/>
            <w:right w:val="none" w:sz="0" w:space="0" w:color="auto"/>
          </w:divBdr>
        </w:div>
      </w:divsChild>
    </w:div>
    <w:div w:id="331564955">
      <w:bodyDiv w:val="1"/>
      <w:marLeft w:val="0"/>
      <w:marRight w:val="0"/>
      <w:marTop w:val="0"/>
      <w:marBottom w:val="0"/>
      <w:divBdr>
        <w:top w:val="none" w:sz="0" w:space="0" w:color="auto"/>
        <w:left w:val="none" w:sz="0" w:space="0" w:color="auto"/>
        <w:bottom w:val="none" w:sz="0" w:space="0" w:color="auto"/>
        <w:right w:val="none" w:sz="0" w:space="0" w:color="auto"/>
      </w:divBdr>
    </w:div>
    <w:div w:id="337579534">
      <w:bodyDiv w:val="1"/>
      <w:marLeft w:val="0"/>
      <w:marRight w:val="0"/>
      <w:marTop w:val="0"/>
      <w:marBottom w:val="0"/>
      <w:divBdr>
        <w:top w:val="none" w:sz="0" w:space="0" w:color="auto"/>
        <w:left w:val="none" w:sz="0" w:space="0" w:color="auto"/>
        <w:bottom w:val="none" w:sz="0" w:space="0" w:color="auto"/>
        <w:right w:val="none" w:sz="0" w:space="0" w:color="auto"/>
      </w:divBdr>
    </w:div>
    <w:div w:id="345984289">
      <w:bodyDiv w:val="1"/>
      <w:marLeft w:val="0"/>
      <w:marRight w:val="0"/>
      <w:marTop w:val="0"/>
      <w:marBottom w:val="0"/>
      <w:divBdr>
        <w:top w:val="none" w:sz="0" w:space="0" w:color="auto"/>
        <w:left w:val="none" w:sz="0" w:space="0" w:color="auto"/>
        <w:bottom w:val="none" w:sz="0" w:space="0" w:color="auto"/>
        <w:right w:val="none" w:sz="0" w:space="0" w:color="auto"/>
      </w:divBdr>
    </w:div>
    <w:div w:id="347104201">
      <w:bodyDiv w:val="1"/>
      <w:marLeft w:val="0"/>
      <w:marRight w:val="0"/>
      <w:marTop w:val="0"/>
      <w:marBottom w:val="0"/>
      <w:divBdr>
        <w:top w:val="none" w:sz="0" w:space="0" w:color="auto"/>
        <w:left w:val="none" w:sz="0" w:space="0" w:color="auto"/>
        <w:bottom w:val="none" w:sz="0" w:space="0" w:color="auto"/>
        <w:right w:val="none" w:sz="0" w:space="0" w:color="auto"/>
      </w:divBdr>
    </w:div>
    <w:div w:id="352927486">
      <w:bodyDiv w:val="1"/>
      <w:marLeft w:val="0"/>
      <w:marRight w:val="0"/>
      <w:marTop w:val="0"/>
      <w:marBottom w:val="0"/>
      <w:divBdr>
        <w:top w:val="none" w:sz="0" w:space="0" w:color="auto"/>
        <w:left w:val="none" w:sz="0" w:space="0" w:color="auto"/>
        <w:bottom w:val="none" w:sz="0" w:space="0" w:color="auto"/>
        <w:right w:val="none" w:sz="0" w:space="0" w:color="auto"/>
      </w:divBdr>
    </w:div>
    <w:div w:id="358508054">
      <w:bodyDiv w:val="1"/>
      <w:marLeft w:val="0"/>
      <w:marRight w:val="0"/>
      <w:marTop w:val="0"/>
      <w:marBottom w:val="0"/>
      <w:divBdr>
        <w:top w:val="none" w:sz="0" w:space="0" w:color="auto"/>
        <w:left w:val="none" w:sz="0" w:space="0" w:color="auto"/>
        <w:bottom w:val="none" w:sz="0" w:space="0" w:color="auto"/>
        <w:right w:val="none" w:sz="0" w:space="0" w:color="auto"/>
      </w:divBdr>
    </w:div>
    <w:div w:id="369109191">
      <w:bodyDiv w:val="1"/>
      <w:marLeft w:val="0"/>
      <w:marRight w:val="0"/>
      <w:marTop w:val="0"/>
      <w:marBottom w:val="0"/>
      <w:divBdr>
        <w:top w:val="none" w:sz="0" w:space="0" w:color="auto"/>
        <w:left w:val="none" w:sz="0" w:space="0" w:color="auto"/>
        <w:bottom w:val="none" w:sz="0" w:space="0" w:color="auto"/>
        <w:right w:val="none" w:sz="0" w:space="0" w:color="auto"/>
      </w:divBdr>
    </w:div>
    <w:div w:id="391735750">
      <w:bodyDiv w:val="1"/>
      <w:marLeft w:val="0"/>
      <w:marRight w:val="0"/>
      <w:marTop w:val="0"/>
      <w:marBottom w:val="0"/>
      <w:divBdr>
        <w:top w:val="none" w:sz="0" w:space="0" w:color="auto"/>
        <w:left w:val="none" w:sz="0" w:space="0" w:color="auto"/>
        <w:bottom w:val="none" w:sz="0" w:space="0" w:color="auto"/>
        <w:right w:val="none" w:sz="0" w:space="0" w:color="auto"/>
      </w:divBdr>
    </w:div>
    <w:div w:id="415982707">
      <w:bodyDiv w:val="1"/>
      <w:marLeft w:val="0"/>
      <w:marRight w:val="0"/>
      <w:marTop w:val="0"/>
      <w:marBottom w:val="0"/>
      <w:divBdr>
        <w:top w:val="none" w:sz="0" w:space="0" w:color="auto"/>
        <w:left w:val="none" w:sz="0" w:space="0" w:color="auto"/>
        <w:bottom w:val="none" w:sz="0" w:space="0" w:color="auto"/>
        <w:right w:val="none" w:sz="0" w:space="0" w:color="auto"/>
      </w:divBdr>
    </w:div>
    <w:div w:id="428549887">
      <w:bodyDiv w:val="1"/>
      <w:marLeft w:val="0"/>
      <w:marRight w:val="0"/>
      <w:marTop w:val="0"/>
      <w:marBottom w:val="0"/>
      <w:divBdr>
        <w:top w:val="none" w:sz="0" w:space="0" w:color="auto"/>
        <w:left w:val="none" w:sz="0" w:space="0" w:color="auto"/>
        <w:bottom w:val="none" w:sz="0" w:space="0" w:color="auto"/>
        <w:right w:val="none" w:sz="0" w:space="0" w:color="auto"/>
      </w:divBdr>
    </w:div>
    <w:div w:id="432362520">
      <w:bodyDiv w:val="1"/>
      <w:marLeft w:val="0"/>
      <w:marRight w:val="0"/>
      <w:marTop w:val="0"/>
      <w:marBottom w:val="0"/>
      <w:divBdr>
        <w:top w:val="none" w:sz="0" w:space="0" w:color="auto"/>
        <w:left w:val="none" w:sz="0" w:space="0" w:color="auto"/>
        <w:bottom w:val="none" w:sz="0" w:space="0" w:color="auto"/>
        <w:right w:val="none" w:sz="0" w:space="0" w:color="auto"/>
      </w:divBdr>
    </w:div>
    <w:div w:id="438918250">
      <w:bodyDiv w:val="1"/>
      <w:marLeft w:val="0"/>
      <w:marRight w:val="0"/>
      <w:marTop w:val="0"/>
      <w:marBottom w:val="0"/>
      <w:divBdr>
        <w:top w:val="none" w:sz="0" w:space="0" w:color="auto"/>
        <w:left w:val="none" w:sz="0" w:space="0" w:color="auto"/>
        <w:bottom w:val="none" w:sz="0" w:space="0" w:color="auto"/>
        <w:right w:val="none" w:sz="0" w:space="0" w:color="auto"/>
      </w:divBdr>
      <w:divsChild>
        <w:div w:id="112482367">
          <w:marLeft w:val="360"/>
          <w:marRight w:val="0"/>
          <w:marTop w:val="200"/>
          <w:marBottom w:val="0"/>
          <w:divBdr>
            <w:top w:val="none" w:sz="0" w:space="0" w:color="auto"/>
            <w:left w:val="none" w:sz="0" w:space="0" w:color="auto"/>
            <w:bottom w:val="none" w:sz="0" w:space="0" w:color="auto"/>
            <w:right w:val="none" w:sz="0" w:space="0" w:color="auto"/>
          </w:divBdr>
        </w:div>
      </w:divsChild>
    </w:div>
    <w:div w:id="439495328">
      <w:bodyDiv w:val="1"/>
      <w:marLeft w:val="0"/>
      <w:marRight w:val="0"/>
      <w:marTop w:val="0"/>
      <w:marBottom w:val="0"/>
      <w:divBdr>
        <w:top w:val="none" w:sz="0" w:space="0" w:color="auto"/>
        <w:left w:val="none" w:sz="0" w:space="0" w:color="auto"/>
        <w:bottom w:val="none" w:sz="0" w:space="0" w:color="auto"/>
        <w:right w:val="none" w:sz="0" w:space="0" w:color="auto"/>
      </w:divBdr>
    </w:div>
    <w:div w:id="465582316">
      <w:bodyDiv w:val="1"/>
      <w:marLeft w:val="0"/>
      <w:marRight w:val="0"/>
      <w:marTop w:val="0"/>
      <w:marBottom w:val="0"/>
      <w:divBdr>
        <w:top w:val="none" w:sz="0" w:space="0" w:color="auto"/>
        <w:left w:val="none" w:sz="0" w:space="0" w:color="auto"/>
        <w:bottom w:val="none" w:sz="0" w:space="0" w:color="auto"/>
        <w:right w:val="none" w:sz="0" w:space="0" w:color="auto"/>
      </w:divBdr>
    </w:div>
    <w:div w:id="474951527">
      <w:bodyDiv w:val="1"/>
      <w:marLeft w:val="0"/>
      <w:marRight w:val="0"/>
      <w:marTop w:val="0"/>
      <w:marBottom w:val="0"/>
      <w:divBdr>
        <w:top w:val="none" w:sz="0" w:space="0" w:color="auto"/>
        <w:left w:val="none" w:sz="0" w:space="0" w:color="auto"/>
        <w:bottom w:val="none" w:sz="0" w:space="0" w:color="auto"/>
        <w:right w:val="none" w:sz="0" w:space="0" w:color="auto"/>
      </w:divBdr>
    </w:div>
    <w:div w:id="480775671">
      <w:bodyDiv w:val="1"/>
      <w:marLeft w:val="0"/>
      <w:marRight w:val="0"/>
      <w:marTop w:val="0"/>
      <w:marBottom w:val="0"/>
      <w:divBdr>
        <w:top w:val="none" w:sz="0" w:space="0" w:color="auto"/>
        <w:left w:val="none" w:sz="0" w:space="0" w:color="auto"/>
        <w:bottom w:val="none" w:sz="0" w:space="0" w:color="auto"/>
        <w:right w:val="none" w:sz="0" w:space="0" w:color="auto"/>
      </w:divBdr>
      <w:divsChild>
        <w:div w:id="1460762867">
          <w:marLeft w:val="547"/>
          <w:marRight w:val="0"/>
          <w:marTop w:val="106"/>
          <w:marBottom w:val="0"/>
          <w:divBdr>
            <w:top w:val="none" w:sz="0" w:space="0" w:color="auto"/>
            <w:left w:val="none" w:sz="0" w:space="0" w:color="auto"/>
            <w:bottom w:val="none" w:sz="0" w:space="0" w:color="auto"/>
            <w:right w:val="none" w:sz="0" w:space="0" w:color="auto"/>
          </w:divBdr>
        </w:div>
      </w:divsChild>
    </w:div>
    <w:div w:id="484248353">
      <w:bodyDiv w:val="1"/>
      <w:marLeft w:val="0"/>
      <w:marRight w:val="0"/>
      <w:marTop w:val="0"/>
      <w:marBottom w:val="0"/>
      <w:divBdr>
        <w:top w:val="none" w:sz="0" w:space="0" w:color="auto"/>
        <w:left w:val="none" w:sz="0" w:space="0" w:color="auto"/>
        <w:bottom w:val="none" w:sz="0" w:space="0" w:color="auto"/>
        <w:right w:val="none" w:sz="0" w:space="0" w:color="auto"/>
      </w:divBdr>
    </w:div>
    <w:div w:id="492651141">
      <w:bodyDiv w:val="1"/>
      <w:marLeft w:val="0"/>
      <w:marRight w:val="0"/>
      <w:marTop w:val="0"/>
      <w:marBottom w:val="0"/>
      <w:divBdr>
        <w:top w:val="none" w:sz="0" w:space="0" w:color="auto"/>
        <w:left w:val="none" w:sz="0" w:space="0" w:color="auto"/>
        <w:bottom w:val="none" w:sz="0" w:space="0" w:color="auto"/>
        <w:right w:val="none" w:sz="0" w:space="0" w:color="auto"/>
      </w:divBdr>
    </w:div>
    <w:div w:id="505678772">
      <w:bodyDiv w:val="1"/>
      <w:marLeft w:val="0"/>
      <w:marRight w:val="0"/>
      <w:marTop w:val="0"/>
      <w:marBottom w:val="0"/>
      <w:divBdr>
        <w:top w:val="none" w:sz="0" w:space="0" w:color="auto"/>
        <w:left w:val="none" w:sz="0" w:space="0" w:color="auto"/>
        <w:bottom w:val="none" w:sz="0" w:space="0" w:color="auto"/>
        <w:right w:val="none" w:sz="0" w:space="0" w:color="auto"/>
      </w:divBdr>
      <w:divsChild>
        <w:div w:id="405222664">
          <w:marLeft w:val="547"/>
          <w:marRight w:val="0"/>
          <w:marTop w:val="0"/>
          <w:marBottom w:val="0"/>
          <w:divBdr>
            <w:top w:val="none" w:sz="0" w:space="0" w:color="auto"/>
            <w:left w:val="none" w:sz="0" w:space="0" w:color="auto"/>
            <w:bottom w:val="none" w:sz="0" w:space="0" w:color="auto"/>
            <w:right w:val="none" w:sz="0" w:space="0" w:color="auto"/>
          </w:divBdr>
        </w:div>
      </w:divsChild>
    </w:div>
    <w:div w:id="513811169">
      <w:bodyDiv w:val="1"/>
      <w:marLeft w:val="0"/>
      <w:marRight w:val="0"/>
      <w:marTop w:val="0"/>
      <w:marBottom w:val="0"/>
      <w:divBdr>
        <w:top w:val="none" w:sz="0" w:space="0" w:color="auto"/>
        <w:left w:val="none" w:sz="0" w:space="0" w:color="auto"/>
        <w:bottom w:val="none" w:sz="0" w:space="0" w:color="auto"/>
        <w:right w:val="none" w:sz="0" w:space="0" w:color="auto"/>
      </w:divBdr>
    </w:div>
    <w:div w:id="517816108">
      <w:bodyDiv w:val="1"/>
      <w:marLeft w:val="0"/>
      <w:marRight w:val="0"/>
      <w:marTop w:val="0"/>
      <w:marBottom w:val="0"/>
      <w:divBdr>
        <w:top w:val="none" w:sz="0" w:space="0" w:color="auto"/>
        <w:left w:val="none" w:sz="0" w:space="0" w:color="auto"/>
        <w:bottom w:val="none" w:sz="0" w:space="0" w:color="auto"/>
        <w:right w:val="none" w:sz="0" w:space="0" w:color="auto"/>
      </w:divBdr>
    </w:div>
    <w:div w:id="527379248">
      <w:bodyDiv w:val="1"/>
      <w:marLeft w:val="0"/>
      <w:marRight w:val="0"/>
      <w:marTop w:val="0"/>
      <w:marBottom w:val="0"/>
      <w:divBdr>
        <w:top w:val="none" w:sz="0" w:space="0" w:color="auto"/>
        <w:left w:val="none" w:sz="0" w:space="0" w:color="auto"/>
        <w:bottom w:val="none" w:sz="0" w:space="0" w:color="auto"/>
        <w:right w:val="none" w:sz="0" w:space="0" w:color="auto"/>
      </w:divBdr>
    </w:div>
    <w:div w:id="532234834">
      <w:bodyDiv w:val="1"/>
      <w:marLeft w:val="0"/>
      <w:marRight w:val="0"/>
      <w:marTop w:val="0"/>
      <w:marBottom w:val="0"/>
      <w:divBdr>
        <w:top w:val="none" w:sz="0" w:space="0" w:color="auto"/>
        <w:left w:val="none" w:sz="0" w:space="0" w:color="auto"/>
        <w:bottom w:val="none" w:sz="0" w:space="0" w:color="auto"/>
        <w:right w:val="none" w:sz="0" w:space="0" w:color="auto"/>
      </w:divBdr>
      <w:divsChild>
        <w:div w:id="737898071">
          <w:marLeft w:val="547"/>
          <w:marRight w:val="0"/>
          <w:marTop w:val="106"/>
          <w:marBottom w:val="0"/>
          <w:divBdr>
            <w:top w:val="none" w:sz="0" w:space="0" w:color="auto"/>
            <w:left w:val="none" w:sz="0" w:space="0" w:color="auto"/>
            <w:bottom w:val="none" w:sz="0" w:space="0" w:color="auto"/>
            <w:right w:val="none" w:sz="0" w:space="0" w:color="auto"/>
          </w:divBdr>
        </w:div>
      </w:divsChild>
    </w:div>
    <w:div w:id="538250451">
      <w:bodyDiv w:val="1"/>
      <w:marLeft w:val="0"/>
      <w:marRight w:val="0"/>
      <w:marTop w:val="0"/>
      <w:marBottom w:val="0"/>
      <w:divBdr>
        <w:top w:val="none" w:sz="0" w:space="0" w:color="auto"/>
        <w:left w:val="none" w:sz="0" w:space="0" w:color="auto"/>
        <w:bottom w:val="none" w:sz="0" w:space="0" w:color="auto"/>
        <w:right w:val="none" w:sz="0" w:space="0" w:color="auto"/>
      </w:divBdr>
    </w:div>
    <w:div w:id="553396947">
      <w:bodyDiv w:val="1"/>
      <w:marLeft w:val="0"/>
      <w:marRight w:val="0"/>
      <w:marTop w:val="0"/>
      <w:marBottom w:val="0"/>
      <w:divBdr>
        <w:top w:val="none" w:sz="0" w:space="0" w:color="auto"/>
        <w:left w:val="none" w:sz="0" w:space="0" w:color="auto"/>
        <w:bottom w:val="none" w:sz="0" w:space="0" w:color="auto"/>
        <w:right w:val="none" w:sz="0" w:space="0" w:color="auto"/>
      </w:divBdr>
      <w:divsChild>
        <w:div w:id="1174998945">
          <w:marLeft w:val="547"/>
          <w:marRight w:val="0"/>
          <w:marTop w:val="0"/>
          <w:marBottom w:val="0"/>
          <w:divBdr>
            <w:top w:val="none" w:sz="0" w:space="0" w:color="auto"/>
            <w:left w:val="none" w:sz="0" w:space="0" w:color="auto"/>
            <w:bottom w:val="none" w:sz="0" w:space="0" w:color="auto"/>
            <w:right w:val="none" w:sz="0" w:space="0" w:color="auto"/>
          </w:divBdr>
        </w:div>
      </w:divsChild>
    </w:div>
    <w:div w:id="563032686">
      <w:bodyDiv w:val="1"/>
      <w:marLeft w:val="0"/>
      <w:marRight w:val="0"/>
      <w:marTop w:val="0"/>
      <w:marBottom w:val="0"/>
      <w:divBdr>
        <w:top w:val="none" w:sz="0" w:space="0" w:color="auto"/>
        <w:left w:val="none" w:sz="0" w:space="0" w:color="auto"/>
        <w:bottom w:val="none" w:sz="0" w:space="0" w:color="auto"/>
        <w:right w:val="none" w:sz="0" w:space="0" w:color="auto"/>
      </w:divBdr>
    </w:div>
    <w:div w:id="582178636">
      <w:bodyDiv w:val="1"/>
      <w:marLeft w:val="0"/>
      <w:marRight w:val="0"/>
      <w:marTop w:val="0"/>
      <w:marBottom w:val="0"/>
      <w:divBdr>
        <w:top w:val="none" w:sz="0" w:space="0" w:color="auto"/>
        <w:left w:val="none" w:sz="0" w:space="0" w:color="auto"/>
        <w:bottom w:val="none" w:sz="0" w:space="0" w:color="auto"/>
        <w:right w:val="none" w:sz="0" w:space="0" w:color="auto"/>
      </w:divBdr>
    </w:div>
    <w:div w:id="606960280">
      <w:bodyDiv w:val="1"/>
      <w:marLeft w:val="0"/>
      <w:marRight w:val="0"/>
      <w:marTop w:val="0"/>
      <w:marBottom w:val="0"/>
      <w:divBdr>
        <w:top w:val="none" w:sz="0" w:space="0" w:color="auto"/>
        <w:left w:val="none" w:sz="0" w:space="0" w:color="auto"/>
        <w:bottom w:val="none" w:sz="0" w:space="0" w:color="auto"/>
        <w:right w:val="none" w:sz="0" w:space="0" w:color="auto"/>
      </w:divBdr>
      <w:divsChild>
        <w:div w:id="810288396">
          <w:marLeft w:val="547"/>
          <w:marRight w:val="0"/>
          <w:marTop w:val="106"/>
          <w:marBottom w:val="0"/>
          <w:divBdr>
            <w:top w:val="none" w:sz="0" w:space="0" w:color="auto"/>
            <w:left w:val="none" w:sz="0" w:space="0" w:color="auto"/>
            <w:bottom w:val="none" w:sz="0" w:space="0" w:color="auto"/>
            <w:right w:val="none" w:sz="0" w:space="0" w:color="auto"/>
          </w:divBdr>
        </w:div>
      </w:divsChild>
    </w:div>
    <w:div w:id="620187458">
      <w:bodyDiv w:val="1"/>
      <w:marLeft w:val="0"/>
      <w:marRight w:val="0"/>
      <w:marTop w:val="0"/>
      <w:marBottom w:val="0"/>
      <w:divBdr>
        <w:top w:val="none" w:sz="0" w:space="0" w:color="auto"/>
        <w:left w:val="none" w:sz="0" w:space="0" w:color="auto"/>
        <w:bottom w:val="none" w:sz="0" w:space="0" w:color="auto"/>
        <w:right w:val="none" w:sz="0" w:space="0" w:color="auto"/>
      </w:divBdr>
    </w:div>
    <w:div w:id="639187093">
      <w:bodyDiv w:val="1"/>
      <w:marLeft w:val="0"/>
      <w:marRight w:val="0"/>
      <w:marTop w:val="0"/>
      <w:marBottom w:val="0"/>
      <w:divBdr>
        <w:top w:val="none" w:sz="0" w:space="0" w:color="auto"/>
        <w:left w:val="none" w:sz="0" w:space="0" w:color="auto"/>
        <w:bottom w:val="none" w:sz="0" w:space="0" w:color="auto"/>
        <w:right w:val="none" w:sz="0" w:space="0" w:color="auto"/>
      </w:divBdr>
    </w:div>
    <w:div w:id="648750193">
      <w:bodyDiv w:val="1"/>
      <w:marLeft w:val="0"/>
      <w:marRight w:val="0"/>
      <w:marTop w:val="0"/>
      <w:marBottom w:val="0"/>
      <w:divBdr>
        <w:top w:val="none" w:sz="0" w:space="0" w:color="auto"/>
        <w:left w:val="none" w:sz="0" w:space="0" w:color="auto"/>
        <w:bottom w:val="none" w:sz="0" w:space="0" w:color="auto"/>
        <w:right w:val="none" w:sz="0" w:space="0" w:color="auto"/>
      </w:divBdr>
    </w:div>
    <w:div w:id="657421506">
      <w:bodyDiv w:val="1"/>
      <w:marLeft w:val="0"/>
      <w:marRight w:val="0"/>
      <w:marTop w:val="0"/>
      <w:marBottom w:val="0"/>
      <w:divBdr>
        <w:top w:val="none" w:sz="0" w:space="0" w:color="auto"/>
        <w:left w:val="none" w:sz="0" w:space="0" w:color="auto"/>
        <w:bottom w:val="none" w:sz="0" w:space="0" w:color="auto"/>
        <w:right w:val="none" w:sz="0" w:space="0" w:color="auto"/>
      </w:divBdr>
      <w:divsChild>
        <w:div w:id="1024400213">
          <w:marLeft w:val="547"/>
          <w:marRight w:val="0"/>
          <w:marTop w:val="106"/>
          <w:marBottom w:val="0"/>
          <w:divBdr>
            <w:top w:val="none" w:sz="0" w:space="0" w:color="auto"/>
            <w:left w:val="none" w:sz="0" w:space="0" w:color="auto"/>
            <w:bottom w:val="none" w:sz="0" w:space="0" w:color="auto"/>
            <w:right w:val="none" w:sz="0" w:space="0" w:color="auto"/>
          </w:divBdr>
        </w:div>
      </w:divsChild>
    </w:div>
    <w:div w:id="661545639">
      <w:bodyDiv w:val="1"/>
      <w:marLeft w:val="0"/>
      <w:marRight w:val="0"/>
      <w:marTop w:val="0"/>
      <w:marBottom w:val="0"/>
      <w:divBdr>
        <w:top w:val="none" w:sz="0" w:space="0" w:color="auto"/>
        <w:left w:val="none" w:sz="0" w:space="0" w:color="auto"/>
        <w:bottom w:val="none" w:sz="0" w:space="0" w:color="auto"/>
        <w:right w:val="none" w:sz="0" w:space="0" w:color="auto"/>
      </w:divBdr>
    </w:div>
    <w:div w:id="664671271">
      <w:bodyDiv w:val="1"/>
      <w:marLeft w:val="0"/>
      <w:marRight w:val="0"/>
      <w:marTop w:val="0"/>
      <w:marBottom w:val="0"/>
      <w:divBdr>
        <w:top w:val="none" w:sz="0" w:space="0" w:color="auto"/>
        <w:left w:val="none" w:sz="0" w:space="0" w:color="auto"/>
        <w:bottom w:val="none" w:sz="0" w:space="0" w:color="auto"/>
        <w:right w:val="none" w:sz="0" w:space="0" w:color="auto"/>
      </w:divBdr>
    </w:div>
    <w:div w:id="672100233">
      <w:bodyDiv w:val="1"/>
      <w:marLeft w:val="0"/>
      <w:marRight w:val="0"/>
      <w:marTop w:val="0"/>
      <w:marBottom w:val="0"/>
      <w:divBdr>
        <w:top w:val="none" w:sz="0" w:space="0" w:color="auto"/>
        <w:left w:val="none" w:sz="0" w:space="0" w:color="auto"/>
        <w:bottom w:val="none" w:sz="0" w:space="0" w:color="auto"/>
        <w:right w:val="none" w:sz="0" w:space="0" w:color="auto"/>
      </w:divBdr>
    </w:div>
    <w:div w:id="675497053">
      <w:bodyDiv w:val="1"/>
      <w:marLeft w:val="0"/>
      <w:marRight w:val="0"/>
      <w:marTop w:val="0"/>
      <w:marBottom w:val="0"/>
      <w:divBdr>
        <w:top w:val="none" w:sz="0" w:space="0" w:color="auto"/>
        <w:left w:val="none" w:sz="0" w:space="0" w:color="auto"/>
        <w:bottom w:val="none" w:sz="0" w:space="0" w:color="auto"/>
        <w:right w:val="none" w:sz="0" w:space="0" w:color="auto"/>
      </w:divBdr>
    </w:div>
    <w:div w:id="704477285">
      <w:bodyDiv w:val="1"/>
      <w:marLeft w:val="0"/>
      <w:marRight w:val="0"/>
      <w:marTop w:val="0"/>
      <w:marBottom w:val="0"/>
      <w:divBdr>
        <w:top w:val="none" w:sz="0" w:space="0" w:color="auto"/>
        <w:left w:val="none" w:sz="0" w:space="0" w:color="auto"/>
        <w:bottom w:val="none" w:sz="0" w:space="0" w:color="auto"/>
        <w:right w:val="none" w:sz="0" w:space="0" w:color="auto"/>
      </w:divBdr>
      <w:divsChild>
        <w:div w:id="1457021169">
          <w:marLeft w:val="1166"/>
          <w:marRight w:val="0"/>
          <w:marTop w:val="106"/>
          <w:marBottom w:val="0"/>
          <w:divBdr>
            <w:top w:val="none" w:sz="0" w:space="0" w:color="auto"/>
            <w:left w:val="none" w:sz="0" w:space="0" w:color="auto"/>
            <w:bottom w:val="none" w:sz="0" w:space="0" w:color="auto"/>
            <w:right w:val="none" w:sz="0" w:space="0" w:color="auto"/>
          </w:divBdr>
        </w:div>
      </w:divsChild>
    </w:div>
    <w:div w:id="717630496">
      <w:bodyDiv w:val="1"/>
      <w:marLeft w:val="0"/>
      <w:marRight w:val="0"/>
      <w:marTop w:val="0"/>
      <w:marBottom w:val="0"/>
      <w:divBdr>
        <w:top w:val="none" w:sz="0" w:space="0" w:color="auto"/>
        <w:left w:val="none" w:sz="0" w:space="0" w:color="auto"/>
        <w:bottom w:val="none" w:sz="0" w:space="0" w:color="auto"/>
        <w:right w:val="none" w:sz="0" w:space="0" w:color="auto"/>
      </w:divBdr>
      <w:divsChild>
        <w:div w:id="426312667">
          <w:marLeft w:val="547"/>
          <w:marRight w:val="0"/>
          <w:marTop w:val="106"/>
          <w:marBottom w:val="0"/>
          <w:divBdr>
            <w:top w:val="none" w:sz="0" w:space="0" w:color="auto"/>
            <w:left w:val="none" w:sz="0" w:space="0" w:color="auto"/>
            <w:bottom w:val="none" w:sz="0" w:space="0" w:color="auto"/>
            <w:right w:val="none" w:sz="0" w:space="0" w:color="auto"/>
          </w:divBdr>
        </w:div>
        <w:div w:id="590629667">
          <w:marLeft w:val="547"/>
          <w:marRight w:val="0"/>
          <w:marTop w:val="106"/>
          <w:marBottom w:val="0"/>
          <w:divBdr>
            <w:top w:val="none" w:sz="0" w:space="0" w:color="auto"/>
            <w:left w:val="none" w:sz="0" w:space="0" w:color="auto"/>
            <w:bottom w:val="none" w:sz="0" w:space="0" w:color="auto"/>
            <w:right w:val="none" w:sz="0" w:space="0" w:color="auto"/>
          </w:divBdr>
        </w:div>
        <w:div w:id="1598907913">
          <w:marLeft w:val="547"/>
          <w:marRight w:val="0"/>
          <w:marTop w:val="106"/>
          <w:marBottom w:val="0"/>
          <w:divBdr>
            <w:top w:val="none" w:sz="0" w:space="0" w:color="auto"/>
            <w:left w:val="none" w:sz="0" w:space="0" w:color="auto"/>
            <w:bottom w:val="none" w:sz="0" w:space="0" w:color="auto"/>
            <w:right w:val="none" w:sz="0" w:space="0" w:color="auto"/>
          </w:divBdr>
        </w:div>
        <w:div w:id="1859005618">
          <w:marLeft w:val="547"/>
          <w:marRight w:val="0"/>
          <w:marTop w:val="106"/>
          <w:marBottom w:val="0"/>
          <w:divBdr>
            <w:top w:val="none" w:sz="0" w:space="0" w:color="auto"/>
            <w:left w:val="none" w:sz="0" w:space="0" w:color="auto"/>
            <w:bottom w:val="none" w:sz="0" w:space="0" w:color="auto"/>
            <w:right w:val="none" w:sz="0" w:space="0" w:color="auto"/>
          </w:divBdr>
        </w:div>
      </w:divsChild>
    </w:div>
    <w:div w:id="717776352">
      <w:bodyDiv w:val="1"/>
      <w:marLeft w:val="0"/>
      <w:marRight w:val="0"/>
      <w:marTop w:val="0"/>
      <w:marBottom w:val="0"/>
      <w:divBdr>
        <w:top w:val="none" w:sz="0" w:space="0" w:color="auto"/>
        <w:left w:val="none" w:sz="0" w:space="0" w:color="auto"/>
        <w:bottom w:val="none" w:sz="0" w:space="0" w:color="auto"/>
        <w:right w:val="none" w:sz="0" w:space="0" w:color="auto"/>
      </w:divBdr>
    </w:div>
    <w:div w:id="731661749">
      <w:bodyDiv w:val="1"/>
      <w:marLeft w:val="0"/>
      <w:marRight w:val="0"/>
      <w:marTop w:val="0"/>
      <w:marBottom w:val="0"/>
      <w:divBdr>
        <w:top w:val="none" w:sz="0" w:space="0" w:color="auto"/>
        <w:left w:val="none" w:sz="0" w:space="0" w:color="auto"/>
        <w:bottom w:val="none" w:sz="0" w:space="0" w:color="auto"/>
        <w:right w:val="none" w:sz="0" w:space="0" w:color="auto"/>
      </w:divBdr>
      <w:divsChild>
        <w:div w:id="1080908470">
          <w:marLeft w:val="360"/>
          <w:marRight w:val="0"/>
          <w:marTop w:val="200"/>
          <w:marBottom w:val="0"/>
          <w:divBdr>
            <w:top w:val="none" w:sz="0" w:space="0" w:color="auto"/>
            <w:left w:val="none" w:sz="0" w:space="0" w:color="auto"/>
            <w:bottom w:val="none" w:sz="0" w:space="0" w:color="auto"/>
            <w:right w:val="none" w:sz="0" w:space="0" w:color="auto"/>
          </w:divBdr>
        </w:div>
      </w:divsChild>
    </w:div>
    <w:div w:id="744188744">
      <w:bodyDiv w:val="1"/>
      <w:marLeft w:val="0"/>
      <w:marRight w:val="0"/>
      <w:marTop w:val="0"/>
      <w:marBottom w:val="0"/>
      <w:divBdr>
        <w:top w:val="none" w:sz="0" w:space="0" w:color="auto"/>
        <w:left w:val="none" w:sz="0" w:space="0" w:color="auto"/>
        <w:bottom w:val="none" w:sz="0" w:space="0" w:color="auto"/>
        <w:right w:val="none" w:sz="0" w:space="0" w:color="auto"/>
      </w:divBdr>
      <w:divsChild>
        <w:div w:id="778522894">
          <w:marLeft w:val="360"/>
          <w:marRight w:val="0"/>
          <w:marTop w:val="200"/>
          <w:marBottom w:val="0"/>
          <w:divBdr>
            <w:top w:val="none" w:sz="0" w:space="0" w:color="auto"/>
            <w:left w:val="none" w:sz="0" w:space="0" w:color="auto"/>
            <w:bottom w:val="none" w:sz="0" w:space="0" w:color="auto"/>
            <w:right w:val="none" w:sz="0" w:space="0" w:color="auto"/>
          </w:divBdr>
        </w:div>
      </w:divsChild>
    </w:div>
    <w:div w:id="754084883">
      <w:bodyDiv w:val="1"/>
      <w:marLeft w:val="0"/>
      <w:marRight w:val="0"/>
      <w:marTop w:val="0"/>
      <w:marBottom w:val="0"/>
      <w:divBdr>
        <w:top w:val="none" w:sz="0" w:space="0" w:color="auto"/>
        <w:left w:val="none" w:sz="0" w:space="0" w:color="auto"/>
        <w:bottom w:val="none" w:sz="0" w:space="0" w:color="auto"/>
        <w:right w:val="none" w:sz="0" w:space="0" w:color="auto"/>
      </w:divBdr>
      <w:divsChild>
        <w:div w:id="1289123476">
          <w:marLeft w:val="547"/>
          <w:marRight w:val="0"/>
          <w:marTop w:val="106"/>
          <w:marBottom w:val="0"/>
          <w:divBdr>
            <w:top w:val="none" w:sz="0" w:space="0" w:color="auto"/>
            <w:left w:val="none" w:sz="0" w:space="0" w:color="auto"/>
            <w:bottom w:val="none" w:sz="0" w:space="0" w:color="auto"/>
            <w:right w:val="none" w:sz="0" w:space="0" w:color="auto"/>
          </w:divBdr>
        </w:div>
        <w:div w:id="1305894074">
          <w:marLeft w:val="547"/>
          <w:marRight w:val="0"/>
          <w:marTop w:val="106"/>
          <w:marBottom w:val="0"/>
          <w:divBdr>
            <w:top w:val="none" w:sz="0" w:space="0" w:color="auto"/>
            <w:left w:val="none" w:sz="0" w:space="0" w:color="auto"/>
            <w:bottom w:val="none" w:sz="0" w:space="0" w:color="auto"/>
            <w:right w:val="none" w:sz="0" w:space="0" w:color="auto"/>
          </w:divBdr>
        </w:div>
      </w:divsChild>
    </w:div>
    <w:div w:id="790394603">
      <w:bodyDiv w:val="1"/>
      <w:marLeft w:val="0"/>
      <w:marRight w:val="0"/>
      <w:marTop w:val="0"/>
      <w:marBottom w:val="0"/>
      <w:divBdr>
        <w:top w:val="none" w:sz="0" w:space="0" w:color="auto"/>
        <w:left w:val="none" w:sz="0" w:space="0" w:color="auto"/>
        <w:bottom w:val="none" w:sz="0" w:space="0" w:color="auto"/>
        <w:right w:val="none" w:sz="0" w:space="0" w:color="auto"/>
      </w:divBdr>
      <w:divsChild>
        <w:div w:id="1802192108">
          <w:marLeft w:val="547"/>
          <w:marRight w:val="0"/>
          <w:marTop w:val="106"/>
          <w:marBottom w:val="0"/>
          <w:divBdr>
            <w:top w:val="none" w:sz="0" w:space="0" w:color="auto"/>
            <w:left w:val="none" w:sz="0" w:space="0" w:color="auto"/>
            <w:bottom w:val="none" w:sz="0" w:space="0" w:color="auto"/>
            <w:right w:val="none" w:sz="0" w:space="0" w:color="auto"/>
          </w:divBdr>
        </w:div>
      </w:divsChild>
    </w:div>
    <w:div w:id="812983207">
      <w:bodyDiv w:val="1"/>
      <w:marLeft w:val="0"/>
      <w:marRight w:val="0"/>
      <w:marTop w:val="0"/>
      <w:marBottom w:val="0"/>
      <w:divBdr>
        <w:top w:val="none" w:sz="0" w:space="0" w:color="auto"/>
        <w:left w:val="none" w:sz="0" w:space="0" w:color="auto"/>
        <w:bottom w:val="none" w:sz="0" w:space="0" w:color="auto"/>
        <w:right w:val="none" w:sz="0" w:space="0" w:color="auto"/>
      </w:divBdr>
    </w:div>
    <w:div w:id="830370154">
      <w:bodyDiv w:val="1"/>
      <w:marLeft w:val="0"/>
      <w:marRight w:val="0"/>
      <w:marTop w:val="0"/>
      <w:marBottom w:val="0"/>
      <w:divBdr>
        <w:top w:val="none" w:sz="0" w:space="0" w:color="auto"/>
        <w:left w:val="none" w:sz="0" w:space="0" w:color="auto"/>
        <w:bottom w:val="none" w:sz="0" w:space="0" w:color="auto"/>
        <w:right w:val="none" w:sz="0" w:space="0" w:color="auto"/>
      </w:divBdr>
    </w:div>
    <w:div w:id="833715995">
      <w:bodyDiv w:val="1"/>
      <w:marLeft w:val="0"/>
      <w:marRight w:val="0"/>
      <w:marTop w:val="0"/>
      <w:marBottom w:val="0"/>
      <w:divBdr>
        <w:top w:val="none" w:sz="0" w:space="0" w:color="auto"/>
        <w:left w:val="none" w:sz="0" w:space="0" w:color="auto"/>
        <w:bottom w:val="none" w:sz="0" w:space="0" w:color="auto"/>
        <w:right w:val="none" w:sz="0" w:space="0" w:color="auto"/>
      </w:divBdr>
    </w:div>
    <w:div w:id="851070569">
      <w:bodyDiv w:val="1"/>
      <w:marLeft w:val="0"/>
      <w:marRight w:val="0"/>
      <w:marTop w:val="0"/>
      <w:marBottom w:val="0"/>
      <w:divBdr>
        <w:top w:val="none" w:sz="0" w:space="0" w:color="auto"/>
        <w:left w:val="none" w:sz="0" w:space="0" w:color="auto"/>
        <w:bottom w:val="none" w:sz="0" w:space="0" w:color="auto"/>
        <w:right w:val="none" w:sz="0" w:space="0" w:color="auto"/>
      </w:divBdr>
    </w:div>
    <w:div w:id="851334360">
      <w:bodyDiv w:val="1"/>
      <w:marLeft w:val="0"/>
      <w:marRight w:val="0"/>
      <w:marTop w:val="0"/>
      <w:marBottom w:val="0"/>
      <w:divBdr>
        <w:top w:val="none" w:sz="0" w:space="0" w:color="auto"/>
        <w:left w:val="none" w:sz="0" w:space="0" w:color="auto"/>
        <w:bottom w:val="none" w:sz="0" w:space="0" w:color="auto"/>
        <w:right w:val="none" w:sz="0" w:space="0" w:color="auto"/>
      </w:divBdr>
      <w:divsChild>
        <w:div w:id="1398741669">
          <w:marLeft w:val="547"/>
          <w:marRight w:val="0"/>
          <w:marTop w:val="106"/>
          <w:marBottom w:val="0"/>
          <w:divBdr>
            <w:top w:val="none" w:sz="0" w:space="0" w:color="auto"/>
            <w:left w:val="none" w:sz="0" w:space="0" w:color="auto"/>
            <w:bottom w:val="none" w:sz="0" w:space="0" w:color="auto"/>
            <w:right w:val="none" w:sz="0" w:space="0" w:color="auto"/>
          </w:divBdr>
        </w:div>
      </w:divsChild>
    </w:div>
    <w:div w:id="864757611">
      <w:bodyDiv w:val="1"/>
      <w:marLeft w:val="0"/>
      <w:marRight w:val="0"/>
      <w:marTop w:val="0"/>
      <w:marBottom w:val="0"/>
      <w:divBdr>
        <w:top w:val="none" w:sz="0" w:space="0" w:color="auto"/>
        <w:left w:val="none" w:sz="0" w:space="0" w:color="auto"/>
        <w:bottom w:val="none" w:sz="0" w:space="0" w:color="auto"/>
        <w:right w:val="none" w:sz="0" w:space="0" w:color="auto"/>
      </w:divBdr>
    </w:div>
    <w:div w:id="870533442">
      <w:bodyDiv w:val="1"/>
      <w:marLeft w:val="0"/>
      <w:marRight w:val="0"/>
      <w:marTop w:val="0"/>
      <w:marBottom w:val="0"/>
      <w:divBdr>
        <w:top w:val="none" w:sz="0" w:space="0" w:color="auto"/>
        <w:left w:val="none" w:sz="0" w:space="0" w:color="auto"/>
        <w:bottom w:val="none" w:sz="0" w:space="0" w:color="auto"/>
        <w:right w:val="none" w:sz="0" w:space="0" w:color="auto"/>
      </w:divBdr>
      <w:divsChild>
        <w:div w:id="1562447444">
          <w:marLeft w:val="547"/>
          <w:marRight w:val="0"/>
          <w:marTop w:val="106"/>
          <w:marBottom w:val="0"/>
          <w:divBdr>
            <w:top w:val="none" w:sz="0" w:space="0" w:color="auto"/>
            <w:left w:val="none" w:sz="0" w:space="0" w:color="auto"/>
            <w:bottom w:val="none" w:sz="0" w:space="0" w:color="auto"/>
            <w:right w:val="none" w:sz="0" w:space="0" w:color="auto"/>
          </w:divBdr>
        </w:div>
      </w:divsChild>
    </w:div>
    <w:div w:id="877350924">
      <w:bodyDiv w:val="1"/>
      <w:marLeft w:val="0"/>
      <w:marRight w:val="0"/>
      <w:marTop w:val="0"/>
      <w:marBottom w:val="0"/>
      <w:divBdr>
        <w:top w:val="none" w:sz="0" w:space="0" w:color="auto"/>
        <w:left w:val="none" w:sz="0" w:space="0" w:color="auto"/>
        <w:bottom w:val="none" w:sz="0" w:space="0" w:color="auto"/>
        <w:right w:val="none" w:sz="0" w:space="0" w:color="auto"/>
      </w:divBdr>
      <w:divsChild>
        <w:div w:id="448746123">
          <w:marLeft w:val="547"/>
          <w:marRight w:val="0"/>
          <w:marTop w:val="106"/>
          <w:marBottom w:val="0"/>
          <w:divBdr>
            <w:top w:val="none" w:sz="0" w:space="0" w:color="auto"/>
            <w:left w:val="none" w:sz="0" w:space="0" w:color="auto"/>
            <w:bottom w:val="none" w:sz="0" w:space="0" w:color="auto"/>
            <w:right w:val="none" w:sz="0" w:space="0" w:color="auto"/>
          </w:divBdr>
        </w:div>
      </w:divsChild>
    </w:div>
    <w:div w:id="895435217">
      <w:bodyDiv w:val="1"/>
      <w:marLeft w:val="0"/>
      <w:marRight w:val="0"/>
      <w:marTop w:val="0"/>
      <w:marBottom w:val="0"/>
      <w:divBdr>
        <w:top w:val="none" w:sz="0" w:space="0" w:color="auto"/>
        <w:left w:val="none" w:sz="0" w:space="0" w:color="auto"/>
        <w:bottom w:val="none" w:sz="0" w:space="0" w:color="auto"/>
        <w:right w:val="none" w:sz="0" w:space="0" w:color="auto"/>
      </w:divBdr>
    </w:div>
    <w:div w:id="904949784">
      <w:bodyDiv w:val="1"/>
      <w:marLeft w:val="0"/>
      <w:marRight w:val="0"/>
      <w:marTop w:val="0"/>
      <w:marBottom w:val="0"/>
      <w:divBdr>
        <w:top w:val="none" w:sz="0" w:space="0" w:color="auto"/>
        <w:left w:val="none" w:sz="0" w:space="0" w:color="auto"/>
        <w:bottom w:val="none" w:sz="0" w:space="0" w:color="auto"/>
        <w:right w:val="none" w:sz="0" w:space="0" w:color="auto"/>
      </w:divBdr>
    </w:div>
    <w:div w:id="909735234">
      <w:bodyDiv w:val="1"/>
      <w:marLeft w:val="0"/>
      <w:marRight w:val="0"/>
      <w:marTop w:val="0"/>
      <w:marBottom w:val="0"/>
      <w:divBdr>
        <w:top w:val="none" w:sz="0" w:space="0" w:color="auto"/>
        <w:left w:val="none" w:sz="0" w:space="0" w:color="auto"/>
        <w:bottom w:val="none" w:sz="0" w:space="0" w:color="auto"/>
        <w:right w:val="none" w:sz="0" w:space="0" w:color="auto"/>
      </w:divBdr>
      <w:divsChild>
        <w:div w:id="1304194681">
          <w:marLeft w:val="547"/>
          <w:marRight w:val="0"/>
          <w:marTop w:val="0"/>
          <w:marBottom w:val="0"/>
          <w:divBdr>
            <w:top w:val="none" w:sz="0" w:space="0" w:color="auto"/>
            <w:left w:val="none" w:sz="0" w:space="0" w:color="auto"/>
            <w:bottom w:val="none" w:sz="0" w:space="0" w:color="auto"/>
            <w:right w:val="none" w:sz="0" w:space="0" w:color="auto"/>
          </w:divBdr>
        </w:div>
      </w:divsChild>
    </w:div>
    <w:div w:id="916213155">
      <w:bodyDiv w:val="1"/>
      <w:marLeft w:val="0"/>
      <w:marRight w:val="0"/>
      <w:marTop w:val="0"/>
      <w:marBottom w:val="0"/>
      <w:divBdr>
        <w:top w:val="none" w:sz="0" w:space="0" w:color="auto"/>
        <w:left w:val="none" w:sz="0" w:space="0" w:color="auto"/>
        <w:bottom w:val="none" w:sz="0" w:space="0" w:color="auto"/>
        <w:right w:val="none" w:sz="0" w:space="0" w:color="auto"/>
      </w:divBdr>
    </w:div>
    <w:div w:id="926184843">
      <w:bodyDiv w:val="1"/>
      <w:marLeft w:val="0"/>
      <w:marRight w:val="0"/>
      <w:marTop w:val="0"/>
      <w:marBottom w:val="0"/>
      <w:divBdr>
        <w:top w:val="none" w:sz="0" w:space="0" w:color="auto"/>
        <w:left w:val="none" w:sz="0" w:space="0" w:color="auto"/>
        <w:bottom w:val="none" w:sz="0" w:space="0" w:color="auto"/>
        <w:right w:val="none" w:sz="0" w:space="0" w:color="auto"/>
      </w:divBdr>
      <w:divsChild>
        <w:div w:id="843859334">
          <w:marLeft w:val="547"/>
          <w:marRight w:val="0"/>
          <w:marTop w:val="0"/>
          <w:marBottom w:val="0"/>
          <w:divBdr>
            <w:top w:val="none" w:sz="0" w:space="0" w:color="auto"/>
            <w:left w:val="none" w:sz="0" w:space="0" w:color="auto"/>
            <w:bottom w:val="none" w:sz="0" w:space="0" w:color="auto"/>
            <w:right w:val="none" w:sz="0" w:space="0" w:color="auto"/>
          </w:divBdr>
        </w:div>
      </w:divsChild>
    </w:div>
    <w:div w:id="928391664">
      <w:bodyDiv w:val="1"/>
      <w:marLeft w:val="0"/>
      <w:marRight w:val="0"/>
      <w:marTop w:val="0"/>
      <w:marBottom w:val="0"/>
      <w:divBdr>
        <w:top w:val="none" w:sz="0" w:space="0" w:color="auto"/>
        <w:left w:val="none" w:sz="0" w:space="0" w:color="auto"/>
        <w:bottom w:val="none" w:sz="0" w:space="0" w:color="auto"/>
        <w:right w:val="none" w:sz="0" w:space="0" w:color="auto"/>
      </w:divBdr>
      <w:divsChild>
        <w:div w:id="649602229">
          <w:marLeft w:val="547"/>
          <w:marRight w:val="0"/>
          <w:marTop w:val="106"/>
          <w:marBottom w:val="0"/>
          <w:divBdr>
            <w:top w:val="none" w:sz="0" w:space="0" w:color="auto"/>
            <w:left w:val="none" w:sz="0" w:space="0" w:color="auto"/>
            <w:bottom w:val="none" w:sz="0" w:space="0" w:color="auto"/>
            <w:right w:val="none" w:sz="0" w:space="0" w:color="auto"/>
          </w:divBdr>
        </w:div>
      </w:divsChild>
    </w:div>
    <w:div w:id="931474178">
      <w:bodyDiv w:val="1"/>
      <w:marLeft w:val="0"/>
      <w:marRight w:val="0"/>
      <w:marTop w:val="0"/>
      <w:marBottom w:val="0"/>
      <w:divBdr>
        <w:top w:val="none" w:sz="0" w:space="0" w:color="auto"/>
        <w:left w:val="none" w:sz="0" w:space="0" w:color="auto"/>
        <w:bottom w:val="none" w:sz="0" w:space="0" w:color="auto"/>
        <w:right w:val="none" w:sz="0" w:space="0" w:color="auto"/>
      </w:divBdr>
      <w:divsChild>
        <w:div w:id="2027905766">
          <w:marLeft w:val="360"/>
          <w:marRight w:val="0"/>
          <w:marTop w:val="200"/>
          <w:marBottom w:val="0"/>
          <w:divBdr>
            <w:top w:val="none" w:sz="0" w:space="0" w:color="auto"/>
            <w:left w:val="none" w:sz="0" w:space="0" w:color="auto"/>
            <w:bottom w:val="none" w:sz="0" w:space="0" w:color="auto"/>
            <w:right w:val="none" w:sz="0" w:space="0" w:color="auto"/>
          </w:divBdr>
        </w:div>
      </w:divsChild>
    </w:div>
    <w:div w:id="933169722">
      <w:bodyDiv w:val="1"/>
      <w:marLeft w:val="0"/>
      <w:marRight w:val="0"/>
      <w:marTop w:val="0"/>
      <w:marBottom w:val="0"/>
      <w:divBdr>
        <w:top w:val="none" w:sz="0" w:space="0" w:color="auto"/>
        <w:left w:val="none" w:sz="0" w:space="0" w:color="auto"/>
        <w:bottom w:val="none" w:sz="0" w:space="0" w:color="auto"/>
        <w:right w:val="none" w:sz="0" w:space="0" w:color="auto"/>
      </w:divBdr>
    </w:div>
    <w:div w:id="943148128">
      <w:bodyDiv w:val="1"/>
      <w:marLeft w:val="0"/>
      <w:marRight w:val="0"/>
      <w:marTop w:val="0"/>
      <w:marBottom w:val="0"/>
      <w:divBdr>
        <w:top w:val="none" w:sz="0" w:space="0" w:color="auto"/>
        <w:left w:val="none" w:sz="0" w:space="0" w:color="auto"/>
        <w:bottom w:val="none" w:sz="0" w:space="0" w:color="auto"/>
        <w:right w:val="none" w:sz="0" w:space="0" w:color="auto"/>
      </w:divBdr>
    </w:div>
    <w:div w:id="958490147">
      <w:bodyDiv w:val="1"/>
      <w:marLeft w:val="0"/>
      <w:marRight w:val="0"/>
      <w:marTop w:val="0"/>
      <w:marBottom w:val="0"/>
      <w:divBdr>
        <w:top w:val="none" w:sz="0" w:space="0" w:color="auto"/>
        <w:left w:val="none" w:sz="0" w:space="0" w:color="auto"/>
        <w:bottom w:val="none" w:sz="0" w:space="0" w:color="auto"/>
        <w:right w:val="none" w:sz="0" w:space="0" w:color="auto"/>
      </w:divBdr>
      <w:divsChild>
        <w:div w:id="676083751">
          <w:marLeft w:val="547"/>
          <w:marRight w:val="0"/>
          <w:marTop w:val="0"/>
          <w:marBottom w:val="0"/>
          <w:divBdr>
            <w:top w:val="none" w:sz="0" w:space="0" w:color="auto"/>
            <w:left w:val="none" w:sz="0" w:space="0" w:color="auto"/>
            <w:bottom w:val="none" w:sz="0" w:space="0" w:color="auto"/>
            <w:right w:val="none" w:sz="0" w:space="0" w:color="auto"/>
          </w:divBdr>
        </w:div>
      </w:divsChild>
    </w:div>
    <w:div w:id="958679669">
      <w:bodyDiv w:val="1"/>
      <w:marLeft w:val="0"/>
      <w:marRight w:val="0"/>
      <w:marTop w:val="0"/>
      <w:marBottom w:val="0"/>
      <w:divBdr>
        <w:top w:val="none" w:sz="0" w:space="0" w:color="auto"/>
        <w:left w:val="none" w:sz="0" w:space="0" w:color="auto"/>
        <w:bottom w:val="none" w:sz="0" w:space="0" w:color="auto"/>
        <w:right w:val="none" w:sz="0" w:space="0" w:color="auto"/>
      </w:divBdr>
    </w:div>
    <w:div w:id="968361455">
      <w:bodyDiv w:val="1"/>
      <w:marLeft w:val="0"/>
      <w:marRight w:val="0"/>
      <w:marTop w:val="0"/>
      <w:marBottom w:val="0"/>
      <w:divBdr>
        <w:top w:val="none" w:sz="0" w:space="0" w:color="auto"/>
        <w:left w:val="none" w:sz="0" w:space="0" w:color="auto"/>
        <w:bottom w:val="none" w:sz="0" w:space="0" w:color="auto"/>
        <w:right w:val="none" w:sz="0" w:space="0" w:color="auto"/>
      </w:divBdr>
      <w:divsChild>
        <w:div w:id="384640501">
          <w:marLeft w:val="547"/>
          <w:marRight w:val="0"/>
          <w:marTop w:val="0"/>
          <w:marBottom w:val="0"/>
          <w:divBdr>
            <w:top w:val="none" w:sz="0" w:space="0" w:color="auto"/>
            <w:left w:val="none" w:sz="0" w:space="0" w:color="auto"/>
            <w:bottom w:val="none" w:sz="0" w:space="0" w:color="auto"/>
            <w:right w:val="none" w:sz="0" w:space="0" w:color="auto"/>
          </w:divBdr>
        </w:div>
        <w:div w:id="1357728189">
          <w:marLeft w:val="547"/>
          <w:marRight w:val="0"/>
          <w:marTop w:val="0"/>
          <w:marBottom w:val="0"/>
          <w:divBdr>
            <w:top w:val="none" w:sz="0" w:space="0" w:color="auto"/>
            <w:left w:val="none" w:sz="0" w:space="0" w:color="auto"/>
            <w:bottom w:val="none" w:sz="0" w:space="0" w:color="auto"/>
            <w:right w:val="none" w:sz="0" w:space="0" w:color="auto"/>
          </w:divBdr>
        </w:div>
        <w:div w:id="1479880993">
          <w:marLeft w:val="547"/>
          <w:marRight w:val="0"/>
          <w:marTop w:val="0"/>
          <w:marBottom w:val="0"/>
          <w:divBdr>
            <w:top w:val="none" w:sz="0" w:space="0" w:color="auto"/>
            <w:left w:val="none" w:sz="0" w:space="0" w:color="auto"/>
            <w:bottom w:val="none" w:sz="0" w:space="0" w:color="auto"/>
            <w:right w:val="none" w:sz="0" w:space="0" w:color="auto"/>
          </w:divBdr>
        </w:div>
        <w:div w:id="1539320541">
          <w:marLeft w:val="547"/>
          <w:marRight w:val="0"/>
          <w:marTop w:val="0"/>
          <w:marBottom w:val="0"/>
          <w:divBdr>
            <w:top w:val="none" w:sz="0" w:space="0" w:color="auto"/>
            <w:left w:val="none" w:sz="0" w:space="0" w:color="auto"/>
            <w:bottom w:val="none" w:sz="0" w:space="0" w:color="auto"/>
            <w:right w:val="none" w:sz="0" w:space="0" w:color="auto"/>
          </w:divBdr>
        </w:div>
        <w:div w:id="1955400479">
          <w:marLeft w:val="547"/>
          <w:marRight w:val="0"/>
          <w:marTop w:val="0"/>
          <w:marBottom w:val="0"/>
          <w:divBdr>
            <w:top w:val="none" w:sz="0" w:space="0" w:color="auto"/>
            <w:left w:val="none" w:sz="0" w:space="0" w:color="auto"/>
            <w:bottom w:val="none" w:sz="0" w:space="0" w:color="auto"/>
            <w:right w:val="none" w:sz="0" w:space="0" w:color="auto"/>
          </w:divBdr>
        </w:div>
      </w:divsChild>
    </w:div>
    <w:div w:id="977807139">
      <w:bodyDiv w:val="1"/>
      <w:marLeft w:val="0"/>
      <w:marRight w:val="0"/>
      <w:marTop w:val="0"/>
      <w:marBottom w:val="0"/>
      <w:divBdr>
        <w:top w:val="none" w:sz="0" w:space="0" w:color="auto"/>
        <w:left w:val="none" w:sz="0" w:space="0" w:color="auto"/>
        <w:bottom w:val="none" w:sz="0" w:space="0" w:color="auto"/>
        <w:right w:val="none" w:sz="0" w:space="0" w:color="auto"/>
      </w:divBdr>
    </w:div>
    <w:div w:id="986275851">
      <w:bodyDiv w:val="1"/>
      <w:marLeft w:val="0"/>
      <w:marRight w:val="0"/>
      <w:marTop w:val="0"/>
      <w:marBottom w:val="0"/>
      <w:divBdr>
        <w:top w:val="none" w:sz="0" w:space="0" w:color="auto"/>
        <w:left w:val="none" w:sz="0" w:space="0" w:color="auto"/>
        <w:bottom w:val="none" w:sz="0" w:space="0" w:color="auto"/>
        <w:right w:val="none" w:sz="0" w:space="0" w:color="auto"/>
      </w:divBdr>
      <w:divsChild>
        <w:div w:id="927345915">
          <w:marLeft w:val="547"/>
          <w:marRight w:val="0"/>
          <w:marTop w:val="0"/>
          <w:marBottom w:val="0"/>
          <w:divBdr>
            <w:top w:val="none" w:sz="0" w:space="0" w:color="auto"/>
            <w:left w:val="none" w:sz="0" w:space="0" w:color="auto"/>
            <w:bottom w:val="none" w:sz="0" w:space="0" w:color="auto"/>
            <w:right w:val="none" w:sz="0" w:space="0" w:color="auto"/>
          </w:divBdr>
        </w:div>
      </w:divsChild>
    </w:div>
    <w:div w:id="989211200">
      <w:bodyDiv w:val="1"/>
      <w:marLeft w:val="0"/>
      <w:marRight w:val="0"/>
      <w:marTop w:val="0"/>
      <w:marBottom w:val="0"/>
      <w:divBdr>
        <w:top w:val="none" w:sz="0" w:space="0" w:color="auto"/>
        <w:left w:val="none" w:sz="0" w:space="0" w:color="auto"/>
        <w:bottom w:val="none" w:sz="0" w:space="0" w:color="auto"/>
        <w:right w:val="none" w:sz="0" w:space="0" w:color="auto"/>
      </w:divBdr>
    </w:div>
    <w:div w:id="1010062496">
      <w:bodyDiv w:val="1"/>
      <w:marLeft w:val="0"/>
      <w:marRight w:val="0"/>
      <w:marTop w:val="0"/>
      <w:marBottom w:val="0"/>
      <w:divBdr>
        <w:top w:val="none" w:sz="0" w:space="0" w:color="auto"/>
        <w:left w:val="none" w:sz="0" w:space="0" w:color="auto"/>
        <w:bottom w:val="none" w:sz="0" w:space="0" w:color="auto"/>
        <w:right w:val="none" w:sz="0" w:space="0" w:color="auto"/>
      </w:divBdr>
      <w:divsChild>
        <w:div w:id="669213261">
          <w:marLeft w:val="547"/>
          <w:marRight w:val="0"/>
          <w:marTop w:val="106"/>
          <w:marBottom w:val="0"/>
          <w:divBdr>
            <w:top w:val="none" w:sz="0" w:space="0" w:color="auto"/>
            <w:left w:val="none" w:sz="0" w:space="0" w:color="auto"/>
            <w:bottom w:val="none" w:sz="0" w:space="0" w:color="auto"/>
            <w:right w:val="none" w:sz="0" w:space="0" w:color="auto"/>
          </w:divBdr>
        </w:div>
      </w:divsChild>
    </w:div>
    <w:div w:id="1012806920">
      <w:bodyDiv w:val="1"/>
      <w:marLeft w:val="0"/>
      <w:marRight w:val="0"/>
      <w:marTop w:val="0"/>
      <w:marBottom w:val="0"/>
      <w:divBdr>
        <w:top w:val="none" w:sz="0" w:space="0" w:color="auto"/>
        <w:left w:val="none" w:sz="0" w:space="0" w:color="auto"/>
        <w:bottom w:val="none" w:sz="0" w:space="0" w:color="auto"/>
        <w:right w:val="none" w:sz="0" w:space="0" w:color="auto"/>
      </w:divBdr>
      <w:divsChild>
        <w:div w:id="767889664">
          <w:marLeft w:val="360"/>
          <w:marRight w:val="0"/>
          <w:marTop w:val="200"/>
          <w:marBottom w:val="0"/>
          <w:divBdr>
            <w:top w:val="none" w:sz="0" w:space="0" w:color="auto"/>
            <w:left w:val="none" w:sz="0" w:space="0" w:color="auto"/>
            <w:bottom w:val="none" w:sz="0" w:space="0" w:color="auto"/>
            <w:right w:val="none" w:sz="0" w:space="0" w:color="auto"/>
          </w:divBdr>
        </w:div>
      </w:divsChild>
    </w:div>
    <w:div w:id="1014722916">
      <w:bodyDiv w:val="1"/>
      <w:marLeft w:val="0"/>
      <w:marRight w:val="0"/>
      <w:marTop w:val="0"/>
      <w:marBottom w:val="0"/>
      <w:divBdr>
        <w:top w:val="none" w:sz="0" w:space="0" w:color="auto"/>
        <w:left w:val="none" w:sz="0" w:space="0" w:color="auto"/>
        <w:bottom w:val="none" w:sz="0" w:space="0" w:color="auto"/>
        <w:right w:val="none" w:sz="0" w:space="0" w:color="auto"/>
      </w:divBdr>
    </w:div>
    <w:div w:id="1027215147">
      <w:bodyDiv w:val="1"/>
      <w:marLeft w:val="0"/>
      <w:marRight w:val="0"/>
      <w:marTop w:val="0"/>
      <w:marBottom w:val="0"/>
      <w:divBdr>
        <w:top w:val="none" w:sz="0" w:space="0" w:color="auto"/>
        <w:left w:val="none" w:sz="0" w:space="0" w:color="auto"/>
        <w:bottom w:val="none" w:sz="0" w:space="0" w:color="auto"/>
        <w:right w:val="none" w:sz="0" w:space="0" w:color="auto"/>
      </w:divBdr>
      <w:divsChild>
        <w:div w:id="157038974">
          <w:marLeft w:val="547"/>
          <w:marRight w:val="0"/>
          <w:marTop w:val="106"/>
          <w:marBottom w:val="0"/>
          <w:divBdr>
            <w:top w:val="none" w:sz="0" w:space="0" w:color="auto"/>
            <w:left w:val="none" w:sz="0" w:space="0" w:color="auto"/>
            <w:bottom w:val="none" w:sz="0" w:space="0" w:color="auto"/>
            <w:right w:val="none" w:sz="0" w:space="0" w:color="auto"/>
          </w:divBdr>
        </w:div>
        <w:div w:id="717978044">
          <w:marLeft w:val="547"/>
          <w:marRight w:val="0"/>
          <w:marTop w:val="106"/>
          <w:marBottom w:val="0"/>
          <w:divBdr>
            <w:top w:val="none" w:sz="0" w:space="0" w:color="auto"/>
            <w:left w:val="none" w:sz="0" w:space="0" w:color="auto"/>
            <w:bottom w:val="none" w:sz="0" w:space="0" w:color="auto"/>
            <w:right w:val="none" w:sz="0" w:space="0" w:color="auto"/>
          </w:divBdr>
        </w:div>
        <w:div w:id="923758878">
          <w:marLeft w:val="547"/>
          <w:marRight w:val="0"/>
          <w:marTop w:val="106"/>
          <w:marBottom w:val="0"/>
          <w:divBdr>
            <w:top w:val="none" w:sz="0" w:space="0" w:color="auto"/>
            <w:left w:val="none" w:sz="0" w:space="0" w:color="auto"/>
            <w:bottom w:val="none" w:sz="0" w:space="0" w:color="auto"/>
            <w:right w:val="none" w:sz="0" w:space="0" w:color="auto"/>
          </w:divBdr>
        </w:div>
        <w:div w:id="1849515100">
          <w:marLeft w:val="547"/>
          <w:marRight w:val="0"/>
          <w:marTop w:val="106"/>
          <w:marBottom w:val="0"/>
          <w:divBdr>
            <w:top w:val="none" w:sz="0" w:space="0" w:color="auto"/>
            <w:left w:val="none" w:sz="0" w:space="0" w:color="auto"/>
            <w:bottom w:val="none" w:sz="0" w:space="0" w:color="auto"/>
            <w:right w:val="none" w:sz="0" w:space="0" w:color="auto"/>
          </w:divBdr>
        </w:div>
      </w:divsChild>
    </w:div>
    <w:div w:id="1070692429">
      <w:bodyDiv w:val="1"/>
      <w:marLeft w:val="0"/>
      <w:marRight w:val="0"/>
      <w:marTop w:val="0"/>
      <w:marBottom w:val="0"/>
      <w:divBdr>
        <w:top w:val="none" w:sz="0" w:space="0" w:color="auto"/>
        <w:left w:val="none" w:sz="0" w:space="0" w:color="auto"/>
        <w:bottom w:val="none" w:sz="0" w:space="0" w:color="auto"/>
        <w:right w:val="none" w:sz="0" w:space="0" w:color="auto"/>
      </w:divBdr>
      <w:divsChild>
        <w:div w:id="430396710">
          <w:marLeft w:val="547"/>
          <w:marRight w:val="0"/>
          <w:marTop w:val="106"/>
          <w:marBottom w:val="0"/>
          <w:divBdr>
            <w:top w:val="none" w:sz="0" w:space="0" w:color="auto"/>
            <w:left w:val="none" w:sz="0" w:space="0" w:color="auto"/>
            <w:bottom w:val="none" w:sz="0" w:space="0" w:color="auto"/>
            <w:right w:val="none" w:sz="0" w:space="0" w:color="auto"/>
          </w:divBdr>
        </w:div>
      </w:divsChild>
    </w:div>
    <w:div w:id="1074011403">
      <w:bodyDiv w:val="1"/>
      <w:marLeft w:val="0"/>
      <w:marRight w:val="0"/>
      <w:marTop w:val="0"/>
      <w:marBottom w:val="0"/>
      <w:divBdr>
        <w:top w:val="none" w:sz="0" w:space="0" w:color="auto"/>
        <w:left w:val="none" w:sz="0" w:space="0" w:color="auto"/>
        <w:bottom w:val="none" w:sz="0" w:space="0" w:color="auto"/>
        <w:right w:val="none" w:sz="0" w:space="0" w:color="auto"/>
      </w:divBdr>
      <w:divsChild>
        <w:div w:id="567034416">
          <w:marLeft w:val="360"/>
          <w:marRight w:val="0"/>
          <w:marTop w:val="200"/>
          <w:marBottom w:val="0"/>
          <w:divBdr>
            <w:top w:val="none" w:sz="0" w:space="0" w:color="auto"/>
            <w:left w:val="none" w:sz="0" w:space="0" w:color="auto"/>
            <w:bottom w:val="none" w:sz="0" w:space="0" w:color="auto"/>
            <w:right w:val="none" w:sz="0" w:space="0" w:color="auto"/>
          </w:divBdr>
        </w:div>
      </w:divsChild>
    </w:div>
    <w:div w:id="1074624268">
      <w:bodyDiv w:val="1"/>
      <w:marLeft w:val="0"/>
      <w:marRight w:val="0"/>
      <w:marTop w:val="0"/>
      <w:marBottom w:val="0"/>
      <w:divBdr>
        <w:top w:val="none" w:sz="0" w:space="0" w:color="auto"/>
        <w:left w:val="none" w:sz="0" w:space="0" w:color="auto"/>
        <w:bottom w:val="none" w:sz="0" w:space="0" w:color="auto"/>
        <w:right w:val="none" w:sz="0" w:space="0" w:color="auto"/>
      </w:divBdr>
    </w:div>
    <w:div w:id="1080060275">
      <w:bodyDiv w:val="1"/>
      <w:marLeft w:val="0"/>
      <w:marRight w:val="0"/>
      <w:marTop w:val="0"/>
      <w:marBottom w:val="0"/>
      <w:divBdr>
        <w:top w:val="none" w:sz="0" w:space="0" w:color="auto"/>
        <w:left w:val="none" w:sz="0" w:space="0" w:color="auto"/>
        <w:bottom w:val="none" w:sz="0" w:space="0" w:color="auto"/>
        <w:right w:val="none" w:sz="0" w:space="0" w:color="auto"/>
      </w:divBdr>
    </w:div>
    <w:div w:id="1088427524">
      <w:bodyDiv w:val="1"/>
      <w:marLeft w:val="0"/>
      <w:marRight w:val="0"/>
      <w:marTop w:val="0"/>
      <w:marBottom w:val="0"/>
      <w:divBdr>
        <w:top w:val="none" w:sz="0" w:space="0" w:color="auto"/>
        <w:left w:val="none" w:sz="0" w:space="0" w:color="auto"/>
        <w:bottom w:val="none" w:sz="0" w:space="0" w:color="auto"/>
        <w:right w:val="none" w:sz="0" w:space="0" w:color="auto"/>
      </w:divBdr>
    </w:div>
    <w:div w:id="1097822197">
      <w:bodyDiv w:val="1"/>
      <w:marLeft w:val="0"/>
      <w:marRight w:val="0"/>
      <w:marTop w:val="0"/>
      <w:marBottom w:val="0"/>
      <w:divBdr>
        <w:top w:val="none" w:sz="0" w:space="0" w:color="auto"/>
        <w:left w:val="none" w:sz="0" w:space="0" w:color="auto"/>
        <w:bottom w:val="none" w:sz="0" w:space="0" w:color="auto"/>
        <w:right w:val="none" w:sz="0" w:space="0" w:color="auto"/>
      </w:divBdr>
      <w:divsChild>
        <w:div w:id="1965889119">
          <w:marLeft w:val="360"/>
          <w:marRight w:val="0"/>
          <w:marTop w:val="200"/>
          <w:marBottom w:val="0"/>
          <w:divBdr>
            <w:top w:val="none" w:sz="0" w:space="0" w:color="auto"/>
            <w:left w:val="none" w:sz="0" w:space="0" w:color="auto"/>
            <w:bottom w:val="none" w:sz="0" w:space="0" w:color="auto"/>
            <w:right w:val="none" w:sz="0" w:space="0" w:color="auto"/>
          </w:divBdr>
        </w:div>
      </w:divsChild>
    </w:div>
    <w:div w:id="1100102993">
      <w:bodyDiv w:val="1"/>
      <w:marLeft w:val="0"/>
      <w:marRight w:val="0"/>
      <w:marTop w:val="0"/>
      <w:marBottom w:val="0"/>
      <w:divBdr>
        <w:top w:val="none" w:sz="0" w:space="0" w:color="auto"/>
        <w:left w:val="none" w:sz="0" w:space="0" w:color="auto"/>
        <w:bottom w:val="none" w:sz="0" w:space="0" w:color="auto"/>
        <w:right w:val="none" w:sz="0" w:space="0" w:color="auto"/>
      </w:divBdr>
      <w:divsChild>
        <w:div w:id="785664364">
          <w:marLeft w:val="547"/>
          <w:marRight w:val="0"/>
          <w:marTop w:val="106"/>
          <w:marBottom w:val="0"/>
          <w:divBdr>
            <w:top w:val="none" w:sz="0" w:space="0" w:color="auto"/>
            <w:left w:val="none" w:sz="0" w:space="0" w:color="auto"/>
            <w:bottom w:val="none" w:sz="0" w:space="0" w:color="auto"/>
            <w:right w:val="none" w:sz="0" w:space="0" w:color="auto"/>
          </w:divBdr>
        </w:div>
      </w:divsChild>
    </w:div>
    <w:div w:id="1124034220">
      <w:bodyDiv w:val="1"/>
      <w:marLeft w:val="0"/>
      <w:marRight w:val="0"/>
      <w:marTop w:val="0"/>
      <w:marBottom w:val="0"/>
      <w:divBdr>
        <w:top w:val="none" w:sz="0" w:space="0" w:color="auto"/>
        <w:left w:val="none" w:sz="0" w:space="0" w:color="auto"/>
        <w:bottom w:val="none" w:sz="0" w:space="0" w:color="auto"/>
        <w:right w:val="none" w:sz="0" w:space="0" w:color="auto"/>
      </w:divBdr>
    </w:div>
    <w:div w:id="1134981647">
      <w:bodyDiv w:val="1"/>
      <w:marLeft w:val="0"/>
      <w:marRight w:val="0"/>
      <w:marTop w:val="0"/>
      <w:marBottom w:val="0"/>
      <w:divBdr>
        <w:top w:val="none" w:sz="0" w:space="0" w:color="auto"/>
        <w:left w:val="none" w:sz="0" w:space="0" w:color="auto"/>
        <w:bottom w:val="none" w:sz="0" w:space="0" w:color="auto"/>
        <w:right w:val="none" w:sz="0" w:space="0" w:color="auto"/>
      </w:divBdr>
    </w:div>
    <w:div w:id="1152674485">
      <w:bodyDiv w:val="1"/>
      <w:marLeft w:val="0"/>
      <w:marRight w:val="0"/>
      <w:marTop w:val="0"/>
      <w:marBottom w:val="0"/>
      <w:divBdr>
        <w:top w:val="none" w:sz="0" w:space="0" w:color="auto"/>
        <w:left w:val="none" w:sz="0" w:space="0" w:color="auto"/>
        <w:bottom w:val="none" w:sz="0" w:space="0" w:color="auto"/>
        <w:right w:val="none" w:sz="0" w:space="0" w:color="auto"/>
      </w:divBdr>
      <w:divsChild>
        <w:div w:id="1563444227">
          <w:marLeft w:val="360"/>
          <w:marRight w:val="0"/>
          <w:marTop w:val="200"/>
          <w:marBottom w:val="0"/>
          <w:divBdr>
            <w:top w:val="none" w:sz="0" w:space="0" w:color="auto"/>
            <w:left w:val="none" w:sz="0" w:space="0" w:color="auto"/>
            <w:bottom w:val="none" w:sz="0" w:space="0" w:color="auto"/>
            <w:right w:val="none" w:sz="0" w:space="0" w:color="auto"/>
          </w:divBdr>
        </w:div>
      </w:divsChild>
    </w:div>
    <w:div w:id="1172797206">
      <w:bodyDiv w:val="1"/>
      <w:marLeft w:val="0"/>
      <w:marRight w:val="0"/>
      <w:marTop w:val="0"/>
      <w:marBottom w:val="0"/>
      <w:divBdr>
        <w:top w:val="none" w:sz="0" w:space="0" w:color="auto"/>
        <w:left w:val="none" w:sz="0" w:space="0" w:color="auto"/>
        <w:bottom w:val="none" w:sz="0" w:space="0" w:color="auto"/>
        <w:right w:val="none" w:sz="0" w:space="0" w:color="auto"/>
      </w:divBdr>
      <w:divsChild>
        <w:div w:id="704524693">
          <w:marLeft w:val="547"/>
          <w:marRight w:val="0"/>
          <w:marTop w:val="106"/>
          <w:marBottom w:val="0"/>
          <w:divBdr>
            <w:top w:val="none" w:sz="0" w:space="0" w:color="auto"/>
            <w:left w:val="none" w:sz="0" w:space="0" w:color="auto"/>
            <w:bottom w:val="none" w:sz="0" w:space="0" w:color="auto"/>
            <w:right w:val="none" w:sz="0" w:space="0" w:color="auto"/>
          </w:divBdr>
        </w:div>
      </w:divsChild>
    </w:div>
    <w:div w:id="1172990039">
      <w:bodyDiv w:val="1"/>
      <w:marLeft w:val="0"/>
      <w:marRight w:val="0"/>
      <w:marTop w:val="0"/>
      <w:marBottom w:val="0"/>
      <w:divBdr>
        <w:top w:val="none" w:sz="0" w:space="0" w:color="auto"/>
        <w:left w:val="none" w:sz="0" w:space="0" w:color="auto"/>
        <w:bottom w:val="none" w:sz="0" w:space="0" w:color="auto"/>
        <w:right w:val="none" w:sz="0" w:space="0" w:color="auto"/>
      </w:divBdr>
      <w:divsChild>
        <w:div w:id="75588980">
          <w:marLeft w:val="547"/>
          <w:marRight w:val="0"/>
          <w:marTop w:val="106"/>
          <w:marBottom w:val="0"/>
          <w:divBdr>
            <w:top w:val="none" w:sz="0" w:space="0" w:color="auto"/>
            <w:left w:val="none" w:sz="0" w:space="0" w:color="auto"/>
            <w:bottom w:val="none" w:sz="0" w:space="0" w:color="auto"/>
            <w:right w:val="none" w:sz="0" w:space="0" w:color="auto"/>
          </w:divBdr>
        </w:div>
      </w:divsChild>
    </w:div>
    <w:div w:id="1183007917">
      <w:bodyDiv w:val="1"/>
      <w:marLeft w:val="0"/>
      <w:marRight w:val="0"/>
      <w:marTop w:val="0"/>
      <w:marBottom w:val="0"/>
      <w:divBdr>
        <w:top w:val="none" w:sz="0" w:space="0" w:color="auto"/>
        <w:left w:val="none" w:sz="0" w:space="0" w:color="auto"/>
        <w:bottom w:val="none" w:sz="0" w:space="0" w:color="auto"/>
        <w:right w:val="none" w:sz="0" w:space="0" w:color="auto"/>
      </w:divBdr>
      <w:divsChild>
        <w:div w:id="117843208">
          <w:marLeft w:val="547"/>
          <w:marRight w:val="0"/>
          <w:marTop w:val="106"/>
          <w:marBottom w:val="0"/>
          <w:divBdr>
            <w:top w:val="none" w:sz="0" w:space="0" w:color="auto"/>
            <w:left w:val="none" w:sz="0" w:space="0" w:color="auto"/>
            <w:bottom w:val="none" w:sz="0" w:space="0" w:color="auto"/>
            <w:right w:val="none" w:sz="0" w:space="0" w:color="auto"/>
          </w:divBdr>
        </w:div>
      </w:divsChild>
    </w:div>
    <w:div w:id="1186402128">
      <w:bodyDiv w:val="1"/>
      <w:marLeft w:val="0"/>
      <w:marRight w:val="0"/>
      <w:marTop w:val="0"/>
      <w:marBottom w:val="0"/>
      <w:divBdr>
        <w:top w:val="none" w:sz="0" w:space="0" w:color="auto"/>
        <w:left w:val="none" w:sz="0" w:space="0" w:color="auto"/>
        <w:bottom w:val="none" w:sz="0" w:space="0" w:color="auto"/>
        <w:right w:val="none" w:sz="0" w:space="0" w:color="auto"/>
      </w:divBdr>
      <w:divsChild>
        <w:div w:id="1837645366">
          <w:marLeft w:val="360"/>
          <w:marRight w:val="0"/>
          <w:marTop w:val="200"/>
          <w:marBottom w:val="0"/>
          <w:divBdr>
            <w:top w:val="none" w:sz="0" w:space="0" w:color="auto"/>
            <w:left w:val="none" w:sz="0" w:space="0" w:color="auto"/>
            <w:bottom w:val="none" w:sz="0" w:space="0" w:color="auto"/>
            <w:right w:val="none" w:sz="0" w:space="0" w:color="auto"/>
          </w:divBdr>
        </w:div>
      </w:divsChild>
    </w:div>
    <w:div w:id="1195075448">
      <w:bodyDiv w:val="1"/>
      <w:marLeft w:val="0"/>
      <w:marRight w:val="0"/>
      <w:marTop w:val="0"/>
      <w:marBottom w:val="0"/>
      <w:divBdr>
        <w:top w:val="none" w:sz="0" w:space="0" w:color="auto"/>
        <w:left w:val="none" w:sz="0" w:space="0" w:color="auto"/>
        <w:bottom w:val="none" w:sz="0" w:space="0" w:color="auto"/>
        <w:right w:val="none" w:sz="0" w:space="0" w:color="auto"/>
      </w:divBdr>
    </w:div>
    <w:div w:id="1195769943">
      <w:bodyDiv w:val="1"/>
      <w:marLeft w:val="0"/>
      <w:marRight w:val="0"/>
      <w:marTop w:val="0"/>
      <w:marBottom w:val="0"/>
      <w:divBdr>
        <w:top w:val="none" w:sz="0" w:space="0" w:color="auto"/>
        <w:left w:val="none" w:sz="0" w:space="0" w:color="auto"/>
        <w:bottom w:val="none" w:sz="0" w:space="0" w:color="auto"/>
        <w:right w:val="none" w:sz="0" w:space="0" w:color="auto"/>
      </w:divBdr>
    </w:div>
    <w:div w:id="1198665880">
      <w:bodyDiv w:val="1"/>
      <w:marLeft w:val="0"/>
      <w:marRight w:val="0"/>
      <w:marTop w:val="0"/>
      <w:marBottom w:val="0"/>
      <w:divBdr>
        <w:top w:val="none" w:sz="0" w:space="0" w:color="auto"/>
        <w:left w:val="none" w:sz="0" w:space="0" w:color="auto"/>
        <w:bottom w:val="none" w:sz="0" w:space="0" w:color="auto"/>
        <w:right w:val="none" w:sz="0" w:space="0" w:color="auto"/>
      </w:divBdr>
      <w:divsChild>
        <w:div w:id="1097873751">
          <w:marLeft w:val="360"/>
          <w:marRight w:val="0"/>
          <w:marTop w:val="200"/>
          <w:marBottom w:val="0"/>
          <w:divBdr>
            <w:top w:val="none" w:sz="0" w:space="0" w:color="auto"/>
            <w:left w:val="none" w:sz="0" w:space="0" w:color="auto"/>
            <w:bottom w:val="none" w:sz="0" w:space="0" w:color="auto"/>
            <w:right w:val="none" w:sz="0" w:space="0" w:color="auto"/>
          </w:divBdr>
        </w:div>
      </w:divsChild>
    </w:div>
    <w:div w:id="1201044886">
      <w:bodyDiv w:val="1"/>
      <w:marLeft w:val="0"/>
      <w:marRight w:val="0"/>
      <w:marTop w:val="0"/>
      <w:marBottom w:val="0"/>
      <w:divBdr>
        <w:top w:val="none" w:sz="0" w:space="0" w:color="auto"/>
        <w:left w:val="none" w:sz="0" w:space="0" w:color="auto"/>
        <w:bottom w:val="none" w:sz="0" w:space="0" w:color="auto"/>
        <w:right w:val="none" w:sz="0" w:space="0" w:color="auto"/>
      </w:divBdr>
    </w:div>
    <w:div w:id="1208951133">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sChild>
        <w:div w:id="1159882100">
          <w:marLeft w:val="547"/>
          <w:marRight w:val="0"/>
          <w:marTop w:val="106"/>
          <w:marBottom w:val="0"/>
          <w:divBdr>
            <w:top w:val="none" w:sz="0" w:space="0" w:color="auto"/>
            <w:left w:val="none" w:sz="0" w:space="0" w:color="auto"/>
            <w:bottom w:val="none" w:sz="0" w:space="0" w:color="auto"/>
            <w:right w:val="none" w:sz="0" w:space="0" w:color="auto"/>
          </w:divBdr>
        </w:div>
      </w:divsChild>
    </w:div>
    <w:div w:id="1227760083">
      <w:bodyDiv w:val="1"/>
      <w:marLeft w:val="0"/>
      <w:marRight w:val="0"/>
      <w:marTop w:val="0"/>
      <w:marBottom w:val="0"/>
      <w:divBdr>
        <w:top w:val="none" w:sz="0" w:space="0" w:color="auto"/>
        <w:left w:val="none" w:sz="0" w:space="0" w:color="auto"/>
        <w:bottom w:val="none" w:sz="0" w:space="0" w:color="auto"/>
        <w:right w:val="none" w:sz="0" w:space="0" w:color="auto"/>
      </w:divBdr>
    </w:div>
    <w:div w:id="1278298514">
      <w:bodyDiv w:val="1"/>
      <w:marLeft w:val="0"/>
      <w:marRight w:val="0"/>
      <w:marTop w:val="0"/>
      <w:marBottom w:val="0"/>
      <w:divBdr>
        <w:top w:val="none" w:sz="0" w:space="0" w:color="auto"/>
        <w:left w:val="none" w:sz="0" w:space="0" w:color="auto"/>
        <w:bottom w:val="none" w:sz="0" w:space="0" w:color="auto"/>
        <w:right w:val="none" w:sz="0" w:space="0" w:color="auto"/>
      </w:divBdr>
      <w:divsChild>
        <w:div w:id="324211615">
          <w:marLeft w:val="360"/>
          <w:marRight w:val="0"/>
          <w:marTop w:val="200"/>
          <w:marBottom w:val="0"/>
          <w:divBdr>
            <w:top w:val="none" w:sz="0" w:space="0" w:color="auto"/>
            <w:left w:val="none" w:sz="0" w:space="0" w:color="auto"/>
            <w:bottom w:val="none" w:sz="0" w:space="0" w:color="auto"/>
            <w:right w:val="none" w:sz="0" w:space="0" w:color="auto"/>
          </w:divBdr>
        </w:div>
      </w:divsChild>
    </w:div>
    <w:div w:id="1282809163">
      <w:bodyDiv w:val="1"/>
      <w:marLeft w:val="0"/>
      <w:marRight w:val="0"/>
      <w:marTop w:val="0"/>
      <w:marBottom w:val="0"/>
      <w:divBdr>
        <w:top w:val="none" w:sz="0" w:space="0" w:color="auto"/>
        <w:left w:val="none" w:sz="0" w:space="0" w:color="auto"/>
        <w:bottom w:val="none" w:sz="0" w:space="0" w:color="auto"/>
        <w:right w:val="none" w:sz="0" w:space="0" w:color="auto"/>
      </w:divBdr>
    </w:div>
    <w:div w:id="1285620983">
      <w:bodyDiv w:val="1"/>
      <w:marLeft w:val="0"/>
      <w:marRight w:val="0"/>
      <w:marTop w:val="0"/>
      <w:marBottom w:val="0"/>
      <w:divBdr>
        <w:top w:val="none" w:sz="0" w:space="0" w:color="auto"/>
        <w:left w:val="none" w:sz="0" w:space="0" w:color="auto"/>
        <w:bottom w:val="none" w:sz="0" w:space="0" w:color="auto"/>
        <w:right w:val="none" w:sz="0" w:space="0" w:color="auto"/>
      </w:divBdr>
    </w:div>
    <w:div w:id="1298683041">
      <w:bodyDiv w:val="1"/>
      <w:marLeft w:val="0"/>
      <w:marRight w:val="0"/>
      <w:marTop w:val="0"/>
      <w:marBottom w:val="0"/>
      <w:divBdr>
        <w:top w:val="none" w:sz="0" w:space="0" w:color="auto"/>
        <w:left w:val="none" w:sz="0" w:space="0" w:color="auto"/>
        <w:bottom w:val="none" w:sz="0" w:space="0" w:color="auto"/>
        <w:right w:val="none" w:sz="0" w:space="0" w:color="auto"/>
      </w:divBdr>
    </w:div>
    <w:div w:id="1305619288">
      <w:bodyDiv w:val="1"/>
      <w:marLeft w:val="0"/>
      <w:marRight w:val="0"/>
      <w:marTop w:val="0"/>
      <w:marBottom w:val="0"/>
      <w:divBdr>
        <w:top w:val="none" w:sz="0" w:space="0" w:color="auto"/>
        <w:left w:val="none" w:sz="0" w:space="0" w:color="auto"/>
        <w:bottom w:val="none" w:sz="0" w:space="0" w:color="auto"/>
        <w:right w:val="none" w:sz="0" w:space="0" w:color="auto"/>
      </w:divBdr>
    </w:div>
    <w:div w:id="1326321877">
      <w:bodyDiv w:val="1"/>
      <w:marLeft w:val="0"/>
      <w:marRight w:val="0"/>
      <w:marTop w:val="0"/>
      <w:marBottom w:val="0"/>
      <w:divBdr>
        <w:top w:val="none" w:sz="0" w:space="0" w:color="auto"/>
        <w:left w:val="none" w:sz="0" w:space="0" w:color="auto"/>
        <w:bottom w:val="none" w:sz="0" w:space="0" w:color="auto"/>
        <w:right w:val="none" w:sz="0" w:space="0" w:color="auto"/>
      </w:divBdr>
      <w:divsChild>
        <w:div w:id="917061197">
          <w:marLeft w:val="547"/>
          <w:marRight w:val="0"/>
          <w:marTop w:val="106"/>
          <w:marBottom w:val="0"/>
          <w:divBdr>
            <w:top w:val="none" w:sz="0" w:space="0" w:color="auto"/>
            <w:left w:val="none" w:sz="0" w:space="0" w:color="auto"/>
            <w:bottom w:val="none" w:sz="0" w:space="0" w:color="auto"/>
            <w:right w:val="none" w:sz="0" w:space="0" w:color="auto"/>
          </w:divBdr>
        </w:div>
        <w:div w:id="1682076645">
          <w:marLeft w:val="547"/>
          <w:marRight w:val="0"/>
          <w:marTop w:val="106"/>
          <w:marBottom w:val="0"/>
          <w:divBdr>
            <w:top w:val="none" w:sz="0" w:space="0" w:color="auto"/>
            <w:left w:val="none" w:sz="0" w:space="0" w:color="auto"/>
            <w:bottom w:val="none" w:sz="0" w:space="0" w:color="auto"/>
            <w:right w:val="none" w:sz="0" w:space="0" w:color="auto"/>
          </w:divBdr>
        </w:div>
        <w:div w:id="1683896674">
          <w:marLeft w:val="547"/>
          <w:marRight w:val="0"/>
          <w:marTop w:val="106"/>
          <w:marBottom w:val="0"/>
          <w:divBdr>
            <w:top w:val="none" w:sz="0" w:space="0" w:color="auto"/>
            <w:left w:val="none" w:sz="0" w:space="0" w:color="auto"/>
            <w:bottom w:val="none" w:sz="0" w:space="0" w:color="auto"/>
            <w:right w:val="none" w:sz="0" w:space="0" w:color="auto"/>
          </w:divBdr>
        </w:div>
        <w:div w:id="1830245076">
          <w:marLeft w:val="547"/>
          <w:marRight w:val="0"/>
          <w:marTop w:val="106"/>
          <w:marBottom w:val="0"/>
          <w:divBdr>
            <w:top w:val="none" w:sz="0" w:space="0" w:color="auto"/>
            <w:left w:val="none" w:sz="0" w:space="0" w:color="auto"/>
            <w:bottom w:val="none" w:sz="0" w:space="0" w:color="auto"/>
            <w:right w:val="none" w:sz="0" w:space="0" w:color="auto"/>
          </w:divBdr>
        </w:div>
        <w:div w:id="1869759147">
          <w:marLeft w:val="547"/>
          <w:marRight w:val="0"/>
          <w:marTop w:val="106"/>
          <w:marBottom w:val="0"/>
          <w:divBdr>
            <w:top w:val="none" w:sz="0" w:space="0" w:color="auto"/>
            <w:left w:val="none" w:sz="0" w:space="0" w:color="auto"/>
            <w:bottom w:val="none" w:sz="0" w:space="0" w:color="auto"/>
            <w:right w:val="none" w:sz="0" w:space="0" w:color="auto"/>
          </w:divBdr>
        </w:div>
        <w:div w:id="2117828454">
          <w:marLeft w:val="547"/>
          <w:marRight w:val="0"/>
          <w:marTop w:val="106"/>
          <w:marBottom w:val="0"/>
          <w:divBdr>
            <w:top w:val="none" w:sz="0" w:space="0" w:color="auto"/>
            <w:left w:val="none" w:sz="0" w:space="0" w:color="auto"/>
            <w:bottom w:val="none" w:sz="0" w:space="0" w:color="auto"/>
            <w:right w:val="none" w:sz="0" w:space="0" w:color="auto"/>
          </w:divBdr>
        </w:div>
      </w:divsChild>
    </w:div>
    <w:div w:id="1342271161">
      <w:bodyDiv w:val="1"/>
      <w:marLeft w:val="0"/>
      <w:marRight w:val="0"/>
      <w:marTop w:val="0"/>
      <w:marBottom w:val="0"/>
      <w:divBdr>
        <w:top w:val="none" w:sz="0" w:space="0" w:color="auto"/>
        <w:left w:val="none" w:sz="0" w:space="0" w:color="auto"/>
        <w:bottom w:val="none" w:sz="0" w:space="0" w:color="auto"/>
        <w:right w:val="none" w:sz="0" w:space="0" w:color="auto"/>
      </w:divBdr>
    </w:div>
    <w:div w:id="1353412596">
      <w:bodyDiv w:val="1"/>
      <w:marLeft w:val="0"/>
      <w:marRight w:val="0"/>
      <w:marTop w:val="0"/>
      <w:marBottom w:val="0"/>
      <w:divBdr>
        <w:top w:val="none" w:sz="0" w:space="0" w:color="auto"/>
        <w:left w:val="none" w:sz="0" w:space="0" w:color="auto"/>
        <w:bottom w:val="none" w:sz="0" w:space="0" w:color="auto"/>
        <w:right w:val="none" w:sz="0" w:space="0" w:color="auto"/>
      </w:divBdr>
      <w:divsChild>
        <w:div w:id="2082362856">
          <w:marLeft w:val="1080"/>
          <w:marRight w:val="0"/>
          <w:marTop w:val="100"/>
          <w:marBottom w:val="0"/>
          <w:divBdr>
            <w:top w:val="none" w:sz="0" w:space="0" w:color="auto"/>
            <w:left w:val="none" w:sz="0" w:space="0" w:color="auto"/>
            <w:bottom w:val="none" w:sz="0" w:space="0" w:color="auto"/>
            <w:right w:val="none" w:sz="0" w:space="0" w:color="auto"/>
          </w:divBdr>
        </w:div>
      </w:divsChild>
    </w:div>
    <w:div w:id="1366295798">
      <w:bodyDiv w:val="1"/>
      <w:marLeft w:val="0"/>
      <w:marRight w:val="0"/>
      <w:marTop w:val="0"/>
      <w:marBottom w:val="0"/>
      <w:divBdr>
        <w:top w:val="none" w:sz="0" w:space="0" w:color="auto"/>
        <w:left w:val="none" w:sz="0" w:space="0" w:color="auto"/>
        <w:bottom w:val="none" w:sz="0" w:space="0" w:color="auto"/>
        <w:right w:val="none" w:sz="0" w:space="0" w:color="auto"/>
      </w:divBdr>
      <w:divsChild>
        <w:div w:id="522092478">
          <w:marLeft w:val="547"/>
          <w:marRight w:val="0"/>
          <w:marTop w:val="0"/>
          <w:marBottom w:val="0"/>
          <w:divBdr>
            <w:top w:val="none" w:sz="0" w:space="0" w:color="auto"/>
            <w:left w:val="none" w:sz="0" w:space="0" w:color="auto"/>
            <w:bottom w:val="none" w:sz="0" w:space="0" w:color="auto"/>
            <w:right w:val="none" w:sz="0" w:space="0" w:color="auto"/>
          </w:divBdr>
        </w:div>
      </w:divsChild>
    </w:div>
    <w:div w:id="1368876062">
      <w:bodyDiv w:val="1"/>
      <w:marLeft w:val="0"/>
      <w:marRight w:val="0"/>
      <w:marTop w:val="0"/>
      <w:marBottom w:val="0"/>
      <w:divBdr>
        <w:top w:val="none" w:sz="0" w:space="0" w:color="auto"/>
        <w:left w:val="none" w:sz="0" w:space="0" w:color="auto"/>
        <w:bottom w:val="none" w:sz="0" w:space="0" w:color="auto"/>
        <w:right w:val="none" w:sz="0" w:space="0" w:color="auto"/>
      </w:divBdr>
    </w:div>
    <w:div w:id="1378821172">
      <w:bodyDiv w:val="1"/>
      <w:marLeft w:val="0"/>
      <w:marRight w:val="0"/>
      <w:marTop w:val="0"/>
      <w:marBottom w:val="0"/>
      <w:divBdr>
        <w:top w:val="none" w:sz="0" w:space="0" w:color="auto"/>
        <w:left w:val="none" w:sz="0" w:space="0" w:color="auto"/>
        <w:bottom w:val="none" w:sz="0" w:space="0" w:color="auto"/>
        <w:right w:val="none" w:sz="0" w:space="0" w:color="auto"/>
      </w:divBdr>
    </w:div>
    <w:div w:id="1384061710">
      <w:bodyDiv w:val="1"/>
      <w:marLeft w:val="0"/>
      <w:marRight w:val="0"/>
      <w:marTop w:val="0"/>
      <w:marBottom w:val="0"/>
      <w:divBdr>
        <w:top w:val="none" w:sz="0" w:space="0" w:color="auto"/>
        <w:left w:val="none" w:sz="0" w:space="0" w:color="auto"/>
        <w:bottom w:val="none" w:sz="0" w:space="0" w:color="auto"/>
        <w:right w:val="none" w:sz="0" w:space="0" w:color="auto"/>
      </w:divBdr>
    </w:div>
    <w:div w:id="1387800471">
      <w:bodyDiv w:val="1"/>
      <w:marLeft w:val="0"/>
      <w:marRight w:val="0"/>
      <w:marTop w:val="0"/>
      <w:marBottom w:val="0"/>
      <w:divBdr>
        <w:top w:val="none" w:sz="0" w:space="0" w:color="auto"/>
        <w:left w:val="none" w:sz="0" w:space="0" w:color="auto"/>
        <w:bottom w:val="none" w:sz="0" w:space="0" w:color="auto"/>
        <w:right w:val="none" w:sz="0" w:space="0" w:color="auto"/>
      </w:divBdr>
    </w:div>
    <w:div w:id="1405570089">
      <w:bodyDiv w:val="1"/>
      <w:marLeft w:val="0"/>
      <w:marRight w:val="0"/>
      <w:marTop w:val="0"/>
      <w:marBottom w:val="0"/>
      <w:divBdr>
        <w:top w:val="none" w:sz="0" w:space="0" w:color="auto"/>
        <w:left w:val="none" w:sz="0" w:space="0" w:color="auto"/>
        <w:bottom w:val="none" w:sz="0" w:space="0" w:color="auto"/>
        <w:right w:val="none" w:sz="0" w:space="0" w:color="auto"/>
      </w:divBdr>
      <w:divsChild>
        <w:div w:id="548497728">
          <w:marLeft w:val="547"/>
          <w:marRight w:val="0"/>
          <w:marTop w:val="106"/>
          <w:marBottom w:val="0"/>
          <w:divBdr>
            <w:top w:val="none" w:sz="0" w:space="0" w:color="auto"/>
            <w:left w:val="none" w:sz="0" w:space="0" w:color="auto"/>
            <w:bottom w:val="none" w:sz="0" w:space="0" w:color="auto"/>
            <w:right w:val="none" w:sz="0" w:space="0" w:color="auto"/>
          </w:divBdr>
        </w:div>
      </w:divsChild>
    </w:div>
    <w:div w:id="1416823325">
      <w:bodyDiv w:val="1"/>
      <w:marLeft w:val="0"/>
      <w:marRight w:val="0"/>
      <w:marTop w:val="0"/>
      <w:marBottom w:val="0"/>
      <w:divBdr>
        <w:top w:val="none" w:sz="0" w:space="0" w:color="auto"/>
        <w:left w:val="none" w:sz="0" w:space="0" w:color="auto"/>
        <w:bottom w:val="none" w:sz="0" w:space="0" w:color="auto"/>
        <w:right w:val="none" w:sz="0" w:space="0" w:color="auto"/>
      </w:divBdr>
    </w:div>
    <w:div w:id="1435125888">
      <w:bodyDiv w:val="1"/>
      <w:marLeft w:val="0"/>
      <w:marRight w:val="0"/>
      <w:marTop w:val="0"/>
      <w:marBottom w:val="0"/>
      <w:divBdr>
        <w:top w:val="none" w:sz="0" w:space="0" w:color="auto"/>
        <w:left w:val="none" w:sz="0" w:space="0" w:color="auto"/>
        <w:bottom w:val="none" w:sz="0" w:space="0" w:color="auto"/>
        <w:right w:val="none" w:sz="0" w:space="0" w:color="auto"/>
      </w:divBdr>
      <w:divsChild>
        <w:div w:id="793711603">
          <w:marLeft w:val="360"/>
          <w:marRight w:val="0"/>
          <w:marTop w:val="200"/>
          <w:marBottom w:val="0"/>
          <w:divBdr>
            <w:top w:val="none" w:sz="0" w:space="0" w:color="auto"/>
            <w:left w:val="none" w:sz="0" w:space="0" w:color="auto"/>
            <w:bottom w:val="none" w:sz="0" w:space="0" w:color="auto"/>
            <w:right w:val="none" w:sz="0" w:space="0" w:color="auto"/>
          </w:divBdr>
        </w:div>
      </w:divsChild>
    </w:div>
    <w:div w:id="1439059554">
      <w:bodyDiv w:val="1"/>
      <w:marLeft w:val="0"/>
      <w:marRight w:val="0"/>
      <w:marTop w:val="0"/>
      <w:marBottom w:val="0"/>
      <w:divBdr>
        <w:top w:val="none" w:sz="0" w:space="0" w:color="auto"/>
        <w:left w:val="none" w:sz="0" w:space="0" w:color="auto"/>
        <w:bottom w:val="none" w:sz="0" w:space="0" w:color="auto"/>
        <w:right w:val="none" w:sz="0" w:space="0" w:color="auto"/>
      </w:divBdr>
    </w:div>
    <w:div w:id="1445880379">
      <w:bodyDiv w:val="1"/>
      <w:marLeft w:val="0"/>
      <w:marRight w:val="0"/>
      <w:marTop w:val="0"/>
      <w:marBottom w:val="0"/>
      <w:divBdr>
        <w:top w:val="none" w:sz="0" w:space="0" w:color="auto"/>
        <w:left w:val="none" w:sz="0" w:space="0" w:color="auto"/>
        <w:bottom w:val="none" w:sz="0" w:space="0" w:color="auto"/>
        <w:right w:val="none" w:sz="0" w:space="0" w:color="auto"/>
      </w:divBdr>
      <w:divsChild>
        <w:div w:id="1387291167">
          <w:marLeft w:val="547"/>
          <w:marRight w:val="0"/>
          <w:marTop w:val="106"/>
          <w:marBottom w:val="0"/>
          <w:divBdr>
            <w:top w:val="none" w:sz="0" w:space="0" w:color="auto"/>
            <w:left w:val="none" w:sz="0" w:space="0" w:color="auto"/>
            <w:bottom w:val="none" w:sz="0" w:space="0" w:color="auto"/>
            <w:right w:val="none" w:sz="0" w:space="0" w:color="auto"/>
          </w:divBdr>
        </w:div>
      </w:divsChild>
    </w:div>
    <w:div w:id="1451821624">
      <w:bodyDiv w:val="1"/>
      <w:marLeft w:val="0"/>
      <w:marRight w:val="0"/>
      <w:marTop w:val="0"/>
      <w:marBottom w:val="0"/>
      <w:divBdr>
        <w:top w:val="none" w:sz="0" w:space="0" w:color="auto"/>
        <w:left w:val="none" w:sz="0" w:space="0" w:color="auto"/>
        <w:bottom w:val="none" w:sz="0" w:space="0" w:color="auto"/>
        <w:right w:val="none" w:sz="0" w:space="0" w:color="auto"/>
      </w:divBdr>
      <w:divsChild>
        <w:div w:id="1829981488">
          <w:marLeft w:val="547"/>
          <w:marRight w:val="0"/>
          <w:marTop w:val="0"/>
          <w:marBottom w:val="0"/>
          <w:divBdr>
            <w:top w:val="none" w:sz="0" w:space="0" w:color="auto"/>
            <w:left w:val="none" w:sz="0" w:space="0" w:color="auto"/>
            <w:bottom w:val="none" w:sz="0" w:space="0" w:color="auto"/>
            <w:right w:val="none" w:sz="0" w:space="0" w:color="auto"/>
          </w:divBdr>
        </w:div>
      </w:divsChild>
    </w:div>
    <w:div w:id="1454715627">
      <w:bodyDiv w:val="1"/>
      <w:marLeft w:val="0"/>
      <w:marRight w:val="0"/>
      <w:marTop w:val="0"/>
      <w:marBottom w:val="0"/>
      <w:divBdr>
        <w:top w:val="none" w:sz="0" w:space="0" w:color="auto"/>
        <w:left w:val="none" w:sz="0" w:space="0" w:color="auto"/>
        <w:bottom w:val="none" w:sz="0" w:space="0" w:color="auto"/>
        <w:right w:val="none" w:sz="0" w:space="0" w:color="auto"/>
      </w:divBdr>
    </w:div>
    <w:div w:id="1471093793">
      <w:bodyDiv w:val="1"/>
      <w:marLeft w:val="0"/>
      <w:marRight w:val="0"/>
      <w:marTop w:val="0"/>
      <w:marBottom w:val="0"/>
      <w:divBdr>
        <w:top w:val="none" w:sz="0" w:space="0" w:color="auto"/>
        <w:left w:val="none" w:sz="0" w:space="0" w:color="auto"/>
        <w:bottom w:val="none" w:sz="0" w:space="0" w:color="auto"/>
        <w:right w:val="none" w:sz="0" w:space="0" w:color="auto"/>
      </w:divBdr>
    </w:div>
    <w:div w:id="1477339464">
      <w:bodyDiv w:val="1"/>
      <w:marLeft w:val="0"/>
      <w:marRight w:val="0"/>
      <w:marTop w:val="0"/>
      <w:marBottom w:val="0"/>
      <w:divBdr>
        <w:top w:val="none" w:sz="0" w:space="0" w:color="auto"/>
        <w:left w:val="none" w:sz="0" w:space="0" w:color="auto"/>
        <w:bottom w:val="none" w:sz="0" w:space="0" w:color="auto"/>
        <w:right w:val="none" w:sz="0" w:space="0" w:color="auto"/>
      </w:divBdr>
      <w:divsChild>
        <w:div w:id="258297887">
          <w:marLeft w:val="360"/>
          <w:marRight w:val="0"/>
          <w:marTop w:val="200"/>
          <w:marBottom w:val="0"/>
          <w:divBdr>
            <w:top w:val="none" w:sz="0" w:space="0" w:color="auto"/>
            <w:left w:val="none" w:sz="0" w:space="0" w:color="auto"/>
            <w:bottom w:val="none" w:sz="0" w:space="0" w:color="auto"/>
            <w:right w:val="none" w:sz="0" w:space="0" w:color="auto"/>
          </w:divBdr>
        </w:div>
      </w:divsChild>
    </w:div>
    <w:div w:id="1484816220">
      <w:bodyDiv w:val="1"/>
      <w:marLeft w:val="0"/>
      <w:marRight w:val="0"/>
      <w:marTop w:val="0"/>
      <w:marBottom w:val="0"/>
      <w:divBdr>
        <w:top w:val="none" w:sz="0" w:space="0" w:color="auto"/>
        <w:left w:val="none" w:sz="0" w:space="0" w:color="auto"/>
        <w:bottom w:val="none" w:sz="0" w:space="0" w:color="auto"/>
        <w:right w:val="none" w:sz="0" w:space="0" w:color="auto"/>
      </w:divBdr>
      <w:divsChild>
        <w:div w:id="579875649">
          <w:marLeft w:val="360"/>
          <w:marRight w:val="0"/>
          <w:marTop w:val="200"/>
          <w:marBottom w:val="0"/>
          <w:divBdr>
            <w:top w:val="none" w:sz="0" w:space="0" w:color="auto"/>
            <w:left w:val="none" w:sz="0" w:space="0" w:color="auto"/>
            <w:bottom w:val="none" w:sz="0" w:space="0" w:color="auto"/>
            <w:right w:val="none" w:sz="0" w:space="0" w:color="auto"/>
          </w:divBdr>
        </w:div>
      </w:divsChild>
    </w:div>
    <w:div w:id="1494444432">
      <w:bodyDiv w:val="1"/>
      <w:marLeft w:val="0"/>
      <w:marRight w:val="0"/>
      <w:marTop w:val="0"/>
      <w:marBottom w:val="0"/>
      <w:divBdr>
        <w:top w:val="none" w:sz="0" w:space="0" w:color="auto"/>
        <w:left w:val="none" w:sz="0" w:space="0" w:color="auto"/>
        <w:bottom w:val="none" w:sz="0" w:space="0" w:color="auto"/>
        <w:right w:val="none" w:sz="0" w:space="0" w:color="auto"/>
      </w:divBdr>
    </w:div>
    <w:div w:id="1506168914">
      <w:bodyDiv w:val="1"/>
      <w:marLeft w:val="0"/>
      <w:marRight w:val="0"/>
      <w:marTop w:val="0"/>
      <w:marBottom w:val="0"/>
      <w:divBdr>
        <w:top w:val="none" w:sz="0" w:space="0" w:color="auto"/>
        <w:left w:val="none" w:sz="0" w:space="0" w:color="auto"/>
        <w:bottom w:val="none" w:sz="0" w:space="0" w:color="auto"/>
        <w:right w:val="none" w:sz="0" w:space="0" w:color="auto"/>
      </w:divBdr>
      <w:divsChild>
        <w:div w:id="1835761055">
          <w:marLeft w:val="1080"/>
          <w:marRight w:val="0"/>
          <w:marTop w:val="100"/>
          <w:marBottom w:val="0"/>
          <w:divBdr>
            <w:top w:val="none" w:sz="0" w:space="0" w:color="auto"/>
            <w:left w:val="none" w:sz="0" w:space="0" w:color="auto"/>
            <w:bottom w:val="none" w:sz="0" w:space="0" w:color="auto"/>
            <w:right w:val="none" w:sz="0" w:space="0" w:color="auto"/>
          </w:divBdr>
        </w:div>
      </w:divsChild>
    </w:div>
    <w:div w:id="1530609685">
      <w:bodyDiv w:val="1"/>
      <w:marLeft w:val="0"/>
      <w:marRight w:val="0"/>
      <w:marTop w:val="0"/>
      <w:marBottom w:val="0"/>
      <w:divBdr>
        <w:top w:val="none" w:sz="0" w:space="0" w:color="auto"/>
        <w:left w:val="none" w:sz="0" w:space="0" w:color="auto"/>
        <w:bottom w:val="none" w:sz="0" w:space="0" w:color="auto"/>
        <w:right w:val="none" w:sz="0" w:space="0" w:color="auto"/>
      </w:divBdr>
      <w:divsChild>
        <w:div w:id="1465198861">
          <w:marLeft w:val="360"/>
          <w:marRight w:val="0"/>
          <w:marTop w:val="200"/>
          <w:marBottom w:val="0"/>
          <w:divBdr>
            <w:top w:val="none" w:sz="0" w:space="0" w:color="auto"/>
            <w:left w:val="none" w:sz="0" w:space="0" w:color="auto"/>
            <w:bottom w:val="none" w:sz="0" w:space="0" w:color="auto"/>
            <w:right w:val="none" w:sz="0" w:space="0" w:color="auto"/>
          </w:divBdr>
        </w:div>
        <w:div w:id="1869948649">
          <w:marLeft w:val="360"/>
          <w:marRight w:val="0"/>
          <w:marTop w:val="200"/>
          <w:marBottom w:val="0"/>
          <w:divBdr>
            <w:top w:val="none" w:sz="0" w:space="0" w:color="auto"/>
            <w:left w:val="none" w:sz="0" w:space="0" w:color="auto"/>
            <w:bottom w:val="none" w:sz="0" w:space="0" w:color="auto"/>
            <w:right w:val="none" w:sz="0" w:space="0" w:color="auto"/>
          </w:divBdr>
        </w:div>
      </w:divsChild>
    </w:div>
    <w:div w:id="1537236646">
      <w:bodyDiv w:val="1"/>
      <w:marLeft w:val="0"/>
      <w:marRight w:val="0"/>
      <w:marTop w:val="0"/>
      <w:marBottom w:val="0"/>
      <w:divBdr>
        <w:top w:val="none" w:sz="0" w:space="0" w:color="auto"/>
        <w:left w:val="none" w:sz="0" w:space="0" w:color="auto"/>
        <w:bottom w:val="none" w:sz="0" w:space="0" w:color="auto"/>
        <w:right w:val="none" w:sz="0" w:space="0" w:color="auto"/>
      </w:divBdr>
    </w:div>
    <w:div w:id="1543009255">
      <w:bodyDiv w:val="1"/>
      <w:marLeft w:val="0"/>
      <w:marRight w:val="0"/>
      <w:marTop w:val="0"/>
      <w:marBottom w:val="0"/>
      <w:divBdr>
        <w:top w:val="none" w:sz="0" w:space="0" w:color="auto"/>
        <w:left w:val="none" w:sz="0" w:space="0" w:color="auto"/>
        <w:bottom w:val="none" w:sz="0" w:space="0" w:color="auto"/>
        <w:right w:val="none" w:sz="0" w:space="0" w:color="auto"/>
      </w:divBdr>
    </w:div>
    <w:div w:id="1547327672">
      <w:bodyDiv w:val="1"/>
      <w:marLeft w:val="0"/>
      <w:marRight w:val="0"/>
      <w:marTop w:val="0"/>
      <w:marBottom w:val="0"/>
      <w:divBdr>
        <w:top w:val="none" w:sz="0" w:space="0" w:color="auto"/>
        <w:left w:val="none" w:sz="0" w:space="0" w:color="auto"/>
        <w:bottom w:val="none" w:sz="0" w:space="0" w:color="auto"/>
        <w:right w:val="none" w:sz="0" w:space="0" w:color="auto"/>
      </w:divBdr>
    </w:div>
    <w:div w:id="1558321217">
      <w:bodyDiv w:val="1"/>
      <w:marLeft w:val="0"/>
      <w:marRight w:val="0"/>
      <w:marTop w:val="0"/>
      <w:marBottom w:val="0"/>
      <w:divBdr>
        <w:top w:val="none" w:sz="0" w:space="0" w:color="auto"/>
        <w:left w:val="none" w:sz="0" w:space="0" w:color="auto"/>
        <w:bottom w:val="none" w:sz="0" w:space="0" w:color="auto"/>
        <w:right w:val="none" w:sz="0" w:space="0" w:color="auto"/>
      </w:divBdr>
    </w:div>
    <w:div w:id="1561944244">
      <w:bodyDiv w:val="1"/>
      <w:marLeft w:val="0"/>
      <w:marRight w:val="0"/>
      <w:marTop w:val="0"/>
      <w:marBottom w:val="0"/>
      <w:divBdr>
        <w:top w:val="none" w:sz="0" w:space="0" w:color="auto"/>
        <w:left w:val="none" w:sz="0" w:space="0" w:color="auto"/>
        <w:bottom w:val="none" w:sz="0" w:space="0" w:color="auto"/>
        <w:right w:val="none" w:sz="0" w:space="0" w:color="auto"/>
      </w:divBdr>
      <w:divsChild>
        <w:div w:id="1708527396">
          <w:marLeft w:val="360"/>
          <w:marRight w:val="0"/>
          <w:marTop w:val="200"/>
          <w:marBottom w:val="0"/>
          <w:divBdr>
            <w:top w:val="none" w:sz="0" w:space="0" w:color="auto"/>
            <w:left w:val="none" w:sz="0" w:space="0" w:color="auto"/>
            <w:bottom w:val="none" w:sz="0" w:space="0" w:color="auto"/>
            <w:right w:val="none" w:sz="0" w:space="0" w:color="auto"/>
          </w:divBdr>
        </w:div>
      </w:divsChild>
    </w:div>
    <w:div w:id="1575510887">
      <w:bodyDiv w:val="1"/>
      <w:marLeft w:val="0"/>
      <w:marRight w:val="0"/>
      <w:marTop w:val="0"/>
      <w:marBottom w:val="0"/>
      <w:divBdr>
        <w:top w:val="none" w:sz="0" w:space="0" w:color="auto"/>
        <w:left w:val="none" w:sz="0" w:space="0" w:color="auto"/>
        <w:bottom w:val="none" w:sz="0" w:space="0" w:color="auto"/>
        <w:right w:val="none" w:sz="0" w:space="0" w:color="auto"/>
      </w:divBdr>
    </w:div>
    <w:div w:id="1629386274">
      <w:bodyDiv w:val="1"/>
      <w:marLeft w:val="0"/>
      <w:marRight w:val="0"/>
      <w:marTop w:val="0"/>
      <w:marBottom w:val="0"/>
      <w:divBdr>
        <w:top w:val="none" w:sz="0" w:space="0" w:color="auto"/>
        <w:left w:val="none" w:sz="0" w:space="0" w:color="auto"/>
        <w:bottom w:val="none" w:sz="0" w:space="0" w:color="auto"/>
        <w:right w:val="none" w:sz="0" w:space="0" w:color="auto"/>
      </w:divBdr>
      <w:divsChild>
        <w:div w:id="905341218">
          <w:marLeft w:val="1166"/>
          <w:marRight w:val="0"/>
          <w:marTop w:val="106"/>
          <w:marBottom w:val="0"/>
          <w:divBdr>
            <w:top w:val="none" w:sz="0" w:space="0" w:color="auto"/>
            <w:left w:val="none" w:sz="0" w:space="0" w:color="auto"/>
            <w:bottom w:val="none" w:sz="0" w:space="0" w:color="auto"/>
            <w:right w:val="none" w:sz="0" w:space="0" w:color="auto"/>
          </w:divBdr>
        </w:div>
      </w:divsChild>
    </w:div>
    <w:div w:id="1637300124">
      <w:bodyDiv w:val="1"/>
      <w:marLeft w:val="0"/>
      <w:marRight w:val="0"/>
      <w:marTop w:val="0"/>
      <w:marBottom w:val="0"/>
      <w:divBdr>
        <w:top w:val="none" w:sz="0" w:space="0" w:color="auto"/>
        <w:left w:val="none" w:sz="0" w:space="0" w:color="auto"/>
        <w:bottom w:val="none" w:sz="0" w:space="0" w:color="auto"/>
        <w:right w:val="none" w:sz="0" w:space="0" w:color="auto"/>
      </w:divBdr>
    </w:div>
    <w:div w:id="1647279336">
      <w:bodyDiv w:val="1"/>
      <w:marLeft w:val="0"/>
      <w:marRight w:val="0"/>
      <w:marTop w:val="0"/>
      <w:marBottom w:val="0"/>
      <w:divBdr>
        <w:top w:val="none" w:sz="0" w:space="0" w:color="auto"/>
        <w:left w:val="none" w:sz="0" w:space="0" w:color="auto"/>
        <w:bottom w:val="none" w:sz="0" w:space="0" w:color="auto"/>
        <w:right w:val="none" w:sz="0" w:space="0" w:color="auto"/>
      </w:divBdr>
    </w:div>
    <w:div w:id="1648245713">
      <w:bodyDiv w:val="1"/>
      <w:marLeft w:val="0"/>
      <w:marRight w:val="0"/>
      <w:marTop w:val="0"/>
      <w:marBottom w:val="0"/>
      <w:divBdr>
        <w:top w:val="none" w:sz="0" w:space="0" w:color="auto"/>
        <w:left w:val="none" w:sz="0" w:space="0" w:color="auto"/>
        <w:bottom w:val="none" w:sz="0" w:space="0" w:color="auto"/>
        <w:right w:val="none" w:sz="0" w:space="0" w:color="auto"/>
      </w:divBdr>
    </w:div>
    <w:div w:id="1652758664">
      <w:bodyDiv w:val="1"/>
      <w:marLeft w:val="0"/>
      <w:marRight w:val="0"/>
      <w:marTop w:val="0"/>
      <w:marBottom w:val="0"/>
      <w:divBdr>
        <w:top w:val="none" w:sz="0" w:space="0" w:color="auto"/>
        <w:left w:val="none" w:sz="0" w:space="0" w:color="auto"/>
        <w:bottom w:val="none" w:sz="0" w:space="0" w:color="auto"/>
        <w:right w:val="none" w:sz="0" w:space="0" w:color="auto"/>
      </w:divBdr>
    </w:div>
    <w:div w:id="1655254519">
      <w:bodyDiv w:val="1"/>
      <w:marLeft w:val="0"/>
      <w:marRight w:val="0"/>
      <w:marTop w:val="0"/>
      <w:marBottom w:val="0"/>
      <w:divBdr>
        <w:top w:val="none" w:sz="0" w:space="0" w:color="auto"/>
        <w:left w:val="none" w:sz="0" w:space="0" w:color="auto"/>
        <w:bottom w:val="none" w:sz="0" w:space="0" w:color="auto"/>
        <w:right w:val="none" w:sz="0" w:space="0" w:color="auto"/>
      </w:divBdr>
    </w:div>
    <w:div w:id="1656950453">
      <w:bodyDiv w:val="1"/>
      <w:marLeft w:val="0"/>
      <w:marRight w:val="0"/>
      <w:marTop w:val="0"/>
      <w:marBottom w:val="0"/>
      <w:divBdr>
        <w:top w:val="none" w:sz="0" w:space="0" w:color="auto"/>
        <w:left w:val="none" w:sz="0" w:space="0" w:color="auto"/>
        <w:bottom w:val="none" w:sz="0" w:space="0" w:color="auto"/>
        <w:right w:val="none" w:sz="0" w:space="0" w:color="auto"/>
      </w:divBdr>
      <w:divsChild>
        <w:div w:id="416826108">
          <w:marLeft w:val="547"/>
          <w:marRight w:val="0"/>
          <w:marTop w:val="106"/>
          <w:marBottom w:val="0"/>
          <w:divBdr>
            <w:top w:val="none" w:sz="0" w:space="0" w:color="auto"/>
            <w:left w:val="none" w:sz="0" w:space="0" w:color="auto"/>
            <w:bottom w:val="none" w:sz="0" w:space="0" w:color="auto"/>
            <w:right w:val="none" w:sz="0" w:space="0" w:color="auto"/>
          </w:divBdr>
        </w:div>
      </w:divsChild>
    </w:div>
    <w:div w:id="1666933406">
      <w:bodyDiv w:val="1"/>
      <w:marLeft w:val="0"/>
      <w:marRight w:val="0"/>
      <w:marTop w:val="0"/>
      <w:marBottom w:val="0"/>
      <w:divBdr>
        <w:top w:val="none" w:sz="0" w:space="0" w:color="auto"/>
        <w:left w:val="none" w:sz="0" w:space="0" w:color="auto"/>
        <w:bottom w:val="none" w:sz="0" w:space="0" w:color="auto"/>
        <w:right w:val="none" w:sz="0" w:space="0" w:color="auto"/>
      </w:divBdr>
      <w:divsChild>
        <w:div w:id="347289987">
          <w:marLeft w:val="360"/>
          <w:marRight w:val="0"/>
          <w:marTop w:val="200"/>
          <w:marBottom w:val="0"/>
          <w:divBdr>
            <w:top w:val="none" w:sz="0" w:space="0" w:color="auto"/>
            <w:left w:val="none" w:sz="0" w:space="0" w:color="auto"/>
            <w:bottom w:val="none" w:sz="0" w:space="0" w:color="auto"/>
            <w:right w:val="none" w:sz="0" w:space="0" w:color="auto"/>
          </w:divBdr>
        </w:div>
      </w:divsChild>
    </w:div>
    <w:div w:id="1670866461">
      <w:bodyDiv w:val="1"/>
      <w:marLeft w:val="0"/>
      <w:marRight w:val="0"/>
      <w:marTop w:val="0"/>
      <w:marBottom w:val="0"/>
      <w:divBdr>
        <w:top w:val="none" w:sz="0" w:space="0" w:color="auto"/>
        <w:left w:val="none" w:sz="0" w:space="0" w:color="auto"/>
        <w:bottom w:val="none" w:sz="0" w:space="0" w:color="auto"/>
        <w:right w:val="none" w:sz="0" w:space="0" w:color="auto"/>
      </w:divBdr>
    </w:div>
    <w:div w:id="1674919411">
      <w:bodyDiv w:val="1"/>
      <w:marLeft w:val="0"/>
      <w:marRight w:val="0"/>
      <w:marTop w:val="0"/>
      <w:marBottom w:val="0"/>
      <w:divBdr>
        <w:top w:val="none" w:sz="0" w:space="0" w:color="auto"/>
        <w:left w:val="none" w:sz="0" w:space="0" w:color="auto"/>
        <w:bottom w:val="none" w:sz="0" w:space="0" w:color="auto"/>
        <w:right w:val="none" w:sz="0" w:space="0" w:color="auto"/>
      </w:divBdr>
    </w:div>
    <w:div w:id="1676954815">
      <w:bodyDiv w:val="1"/>
      <w:marLeft w:val="0"/>
      <w:marRight w:val="0"/>
      <w:marTop w:val="0"/>
      <w:marBottom w:val="0"/>
      <w:divBdr>
        <w:top w:val="none" w:sz="0" w:space="0" w:color="auto"/>
        <w:left w:val="none" w:sz="0" w:space="0" w:color="auto"/>
        <w:bottom w:val="none" w:sz="0" w:space="0" w:color="auto"/>
        <w:right w:val="none" w:sz="0" w:space="0" w:color="auto"/>
      </w:divBdr>
    </w:div>
    <w:div w:id="1681395484">
      <w:bodyDiv w:val="1"/>
      <w:marLeft w:val="0"/>
      <w:marRight w:val="0"/>
      <w:marTop w:val="0"/>
      <w:marBottom w:val="0"/>
      <w:divBdr>
        <w:top w:val="none" w:sz="0" w:space="0" w:color="auto"/>
        <w:left w:val="none" w:sz="0" w:space="0" w:color="auto"/>
        <w:bottom w:val="none" w:sz="0" w:space="0" w:color="auto"/>
        <w:right w:val="none" w:sz="0" w:space="0" w:color="auto"/>
      </w:divBdr>
      <w:divsChild>
        <w:div w:id="654065381">
          <w:marLeft w:val="547"/>
          <w:marRight w:val="0"/>
          <w:marTop w:val="106"/>
          <w:marBottom w:val="0"/>
          <w:divBdr>
            <w:top w:val="none" w:sz="0" w:space="0" w:color="auto"/>
            <w:left w:val="none" w:sz="0" w:space="0" w:color="auto"/>
            <w:bottom w:val="none" w:sz="0" w:space="0" w:color="auto"/>
            <w:right w:val="none" w:sz="0" w:space="0" w:color="auto"/>
          </w:divBdr>
        </w:div>
      </w:divsChild>
    </w:div>
    <w:div w:id="1687050150">
      <w:bodyDiv w:val="1"/>
      <w:marLeft w:val="0"/>
      <w:marRight w:val="0"/>
      <w:marTop w:val="0"/>
      <w:marBottom w:val="0"/>
      <w:divBdr>
        <w:top w:val="none" w:sz="0" w:space="0" w:color="auto"/>
        <w:left w:val="none" w:sz="0" w:space="0" w:color="auto"/>
        <w:bottom w:val="none" w:sz="0" w:space="0" w:color="auto"/>
        <w:right w:val="none" w:sz="0" w:space="0" w:color="auto"/>
      </w:divBdr>
    </w:div>
    <w:div w:id="1703509026">
      <w:bodyDiv w:val="1"/>
      <w:marLeft w:val="0"/>
      <w:marRight w:val="0"/>
      <w:marTop w:val="0"/>
      <w:marBottom w:val="0"/>
      <w:divBdr>
        <w:top w:val="none" w:sz="0" w:space="0" w:color="auto"/>
        <w:left w:val="none" w:sz="0" w:space="0" w:color="auto"/>
        <w:bottom w:val="none" w:sz="0" w:space="0" w:color="auto"/>
        <w:right w:val="none" w:sz="0" w:space="0" w:color="auto"/>
      </w:divBdr>
    </w:div>
    <w:div w:id="1703749398">
      <w:bodyDiv w:val="1"/>
      <w:marLeft w:val="0"/>
      <w:marRight w:val="0"/>
      <w:marTop w:val="0"/>
      <w:marBottom w:val="0"/>
      <w:divBdr>
        <w:top w:val="none" w:sz="0" w:space="0" w:color="auto"/>
        <w:left w:val="none" w:sz="0" w:space="0" w:color="auto"/>
        <w:bottom w:val="none" w:sz="0" w:space="0" w:color="auto"/>
        <w:right w:val="none" w:sz="0" w:space="0" w:color="auto"/>
      </w:divBdr>
      <w:divsChild>
        <w:div w:id="1251543380">
          <w:marLeft w:val="547"/>
          <w:marRight w:val="0"/>
          <w:marTop w:val="106"/>
          <w:marBottom w:val="0"/>
          <w:divBdr>
            <w:top w:val="none" w:sz="0" w:space="0" w:color="auto"/>
            <w:left w:val="none" w:sz="0" w:space="0" w:color="auto"/>
            <w:bottom w:val="none" w:sz="0" w:space="0" w:color="auto"/>
            <w:right w:val="none" w:sz="0" w:space="0" w:color="auto"/>
          </w:divBdr>
        </w:div>
        <w:div w:id="2012753739">
          <w:marLeft w:val="547"/>
          <w:marRight w:val="0"/>
          <w:marTop w:val="106"/>
          <w:marBottom w:val="0"/>
          <w:divBdr>
            <w:top w:val="none" w:sz="0" w:space="0" w:color="auto"/>
            <w:left w:val="none" w:sz="0" w:space="0" w:color="auto"/>
            <w:bottom w:val="none" w:sz="0" w:space="0" w:color="auto"/>
            <w:right w:val="none" w:sz="0" w:space="0" w:color="auto"/>
          </w:divBdr>
        </w:div>
      </w:divsChild>
    </w:div>
    <w:div w:id="1723018830">
      <w:bodyDiv w:val="1"/>
      <w:marLeft w:val="0"/>
      <w:marRight w:val="0"/>
      <w:marTop w:val="0"/>
      <w:marBottom w:val="0"/>
      <w:divBdr>
        <w:top w:val="none" w:sz="0" w:space="0" w:color="auto"/>
        <w:left w:val="none" w:sz="0" w:space="0" w:color="auto"/>
        <w:bottom w:val="none" w:sz="0" w:space="0" w:color="auto"/>
        <w:right w:val="none" w:sz="0" w:space="0" w:color="auto"/>
      </w:divBdr>
    </w:div>
    <w:div w:id="1733308297">
      <w:bodyDiv w:val="1"/>
      <w:marLeft w:val="0"/>
      <w:marRight w:val="0"/>
      <w:marTop w:val="0"/>
      <w:marBottom w:val="0"/>
      <w:divBdr>
        <w:top w:val="none" w:sz="0" w:space="0" w:color="auto"/>
        <w:left w:val="none" w:sz="0" w:space="0" w:color="auto"/>
        <w:bottom w:val="none" w:sz="0" w:space="0" w:color="auto"/>
        <w:right w:val="none" w:sz="0" w:space="0" w:color="auto"/>
      </w:divBdr>
      <w:divsChild>
        <w:div w:id="672874697">
          <w:marLeft w:val="547"/>
          <w:marRight w:val="0"/>
          <w:marTop w:val="0"/>
          <w:marBottom w:val="0"/>
          <w:divBdr>
            <w:top w:val="none" w:sz="0" w:space="0" w:color="auto"/>
            <w:left w:val="none" w:sz="0" w:space="0" w:color="auto"/>
            <w:bottom w:val="none" w:sz="0" w:space="0" w:color="auto"/>
            <w:right w:val="none" w:sz="0" w:space="0" w:color="auto"/>
          </w:divBdr>
        </w:div>
        <w:div w:id="15621490">
          <w:marLeft w:val="547"/>
          <w:marRight w:val="0"/>
          <w:marTop w:val="0"/>
          <w:marBottom w:val="0"/>
          <w:divBdr>
            <w:top w:val="none" w:sz="0" w:space="0" w:color="auto"/>
            <w:left w:val="none" w:sz="0" w:space="0" w:color="auto"/>
            <w:bottom w:val="none" w:sz="0" w:space="0" w:color="auto"/>
            <w:right w:val="none" w:sz="0" w:space="0" w:color="auto"/>
          </w:divBdr>
        </w:div>
        <w:div w:id="943027655">
          <w:marLeft w:val="547"/>
          <w:marRight w:val="0"/>
          <w:marTop w:val="0"/>
          <w:marBottom w:val="0"/>
          <w:divBdr>
            <w:top w:val="none" w:sz="0" w:space="0" w:color="auto"/>
            <w:left w:val="none" w:sz="0" w:space="0" w:color="auto"/>
            <w:bottom w:val="none" w:sz="0" w:space="0" w:color="auto"/>
            <w:right w:val="none" w:sz="0" w:space="0" w:color="auto"/>
          </w:divBdr>
        </w:div>
        <w:div w:id="1623613676">
          <w:marLeft w:val="547"/>
          <w:marRight w:val="0"/>
          <w:marTop w:val="0"/>
          <w:marBottom w:val="0"/>
          <w:divBdr>
            <w:top w:val="none" w:sz="0" w:space="0" w:color="auto"/>
            <w:left w:val="none" w:sz="0" w:space="0" w:color="auto"/>
            <w:bottom w:val="none" w:sz="0" w:space="0" w:color="auto"/>
            <w:right w:val="none" w:sz="0" w:space="0" w:color="auto"/>
          </w:divBdr>
        </w:div>
        <w:div w:id="1153717620">
          <w:marLeft w:val="547"/>
          <w:marRight w:val="0"/>
          <w:marTop w:val="0"/>
          <w:marBottom w:val="0"/>
          <w:divBdr>
            <w:top w:val="none" w:sz="0" w:space="0" w:color="auto"/>
            <w:left w:val="none" w:sz="0" w:space="0" w:color="auto"/>
            <w:bottom w:val="none" w:sz="0" w:space="0" w:color="auto"/>
            <w:right w:val="none" w:sz="0" w:space="0" w:color="auto"/>
          </w:divBdr>
        </w:div>
        <w:div w:id="2095054987">
          <w:marLeft w:val="547"/>
          <w:marRight w:val="0"/>
          <w:marTop w:val="0"/>
          <w:marBottom w:val="0"/>
          <w:divBdr>
            <w:top w:val="none" w:sz="0" w:space="0" w:color="auto"/>
            <w:left w:val="none" w:sz="0" w:space="0" w:color="auto"/>
            <w:bottom w:val="none" w:sz="0" w:space="0" w:color="auto"/>
            <w:right w:val="none" w:sz="0" w:space="0" w:color="auto"/>
          </w:divBdr>
        </w:div>
      </w:divsChild>
    </w:div>
    <w:div w:id="1741636863">
      <w:bodyDiv w:val="1"/>
      <w:marLeft w:val="0"/>
      <w:marRight w:val="0"/>
      <w:marTop w:val="0"/>
      <w:marBottom w:val="0"/>
      <w:divBdr>
        <w:top w:val="none" w:sz="0" w:space="0" w:color="auto"/>
        <w:left w:val="none" w:sz="0" w:space="0" w:color="auto"/>
        <w:bottom w:val="none" w:sz="0" w:space="0" w:color="auto"/>
        <w:right w:val="none" w:sz="0" w:space="0" w:color="auto"/>
      </w:divBdr>
    </w:div>
    <w:div w:id="1754280712">
      <w:bodyDiv w:val="1"/>
      <w:marLeft w:val="0"/>
      <w:marRight w:val="0"/>
      <w:marTop w:val="0"/>
      <w:marBottom w:val="0"/>
      <w:divBdr>
        <w:top w:val="none" w:sz="0" w:space="0" w:color="auto"/>
        <w:left w:val="none" w:sz="0" w:space="0" w:color="auto"/>
        <w:bottom w:val="none" w:sz="0" w:space="0" w:color="auto"/>
        <w:right w:val="none" w:sz="0" w:space="0" w:color="auto"/>
      </w:divBdr>
    </w:div>
    <w:div w:id="1754736311">
      <w:bodyDiv w:val="1"/>
      <w:marLeft w:val="0"/>
      <w:marRight w:val="0"/>
      <w:marTop w:val="0"/>
      <w:marBottom w:val="0"/>
      <w:divBdr>
        <w:top w:val="none" w:sz="0" w:space="0" w:color="auto"/>
        <w:left w:val="none" w:sz="0" w:space="0" w:color="auto"/>
        <w:bottom w:val="none" w:sz="0" w:space="0" w:color="auto"/>
        <w:right w:val="none" w:sz="0" w:space="0" w:color="auto"/>
      </w:divBdr>
    </w:div>
    <w:div w:id="1764184253">
      <w:bodyDiv w:val="1"/>
      <w:marLeft w:val="0"/>
      <w:marRight w:val="0"/>
      <w:marTop w:val="0"/>
      <w:marBottom w:val="0"/>
      <w:divBdr>
        <w:top w:val="none" w:sz="0" w:space="0" w:color="auto"/>
        <w:left w:val="none" w:sz="0" w:space="0" w:color="auto"/>
        <w:bottom w:val="none" w:sz="0" w:space="0" w:color="auto"/>
        <w:right w:val="none" w:sz="0" w:space="0" w:color="auto"/>
      </w:divBdr>
    </w:div>
    <w:div w:id="1766610200">
      <w:bodyDiv w:val="1"/>
      <w:marLeft w:val="0"/>
      <w:marRight w:val="0"/>
      <w:marTop w:val="0"/>
      <w:marBottom w:val="0"/>
      <w:divBdr>
        <w:top w:val="none" w:sz="0" w:space="0" w:color="auto"/>
        <w:left w:val="none" w:sz="0" w:space="0" w:color="auto"/>
        <w:bottom w:val="none" w:sz="0" w:space="0" w:color="auto"/>
        <w:right w:val="none" w:sz="0" w:space="0" w:color="auto"/>
      </w:divBdr>
    </w:div>
    <w:div w:id="1766875946">
      <w:bodyDiv w:val="1"/>
      <w:marLeft w:val="0"/>
      <w:marRight w:val="0"/>
      <w:marTop w:val="0"/>
      <w:marBottom w:val="0"/>
      <w:divBdr>
        <w:top w:val="none" w:sz="0" w:space="0" w:color="auto"/>
        <w:left w:val="none" w:sz="0" w:space="0" w:color="auto"/>
        <w:bottom w:val="none" w:sz="0" w:space="0" w:color="auto"/>
        <w:right w:val="none" w:sz="0" w:space="0" w:color="auto"/>
      </w:divBdr>
      <w:divsChild>
        <w:div w:id="1000738356">
          <w:marLeft w:val="547"/>
          <w:marRight w:val="0"/>
          <w:marTop w:val="106"/>
          <w:marBottom w:val="0"/>
          <w:divBdr>
            <w:top w:val="none" w:sz="0" w:space="0" w:color="auto"/>
            <w:left w:val="none" w:sz="0" w:space="0" w:color="auto"/>
            <w:bottom w:val="none" w:sz="0" w:space="0" w:color="auto"/>
            <w:right w:val="none" w:sz="0" w:space="0" w:color="auto"/>
          </w:divBdr>
        </w:div>
      </w:divsChild>
    </w:div>
    <w:div w:id="1802726722">
      <w:bodyDiv w:val="1"/>
      <w:marLeft w:val="0"/>
      <w:marRight w:val="0"/>
      <w:marTop w:val="0"/>
      <w:marBottom w:val="0"/>
      <w:divBdr>
        <w:top w:val="none" w:sz="0" w:space="0" w:color="auto"/>
        <w:left w:val="none" w:sz="0" w:space="0" w:color="auto"/>
        <w:bottom w:val="none" w:sz="0" w:space="0" w:color="auto"/>
        <w:right w:val="none" w:sz="0" w:space="0" w:color="auto"/>
      </w:divBdr>
    </w:div>
    <w:div w:id="1811439809">
      <w:bodyDiv w:val="1"/>
      <w:marLeft w:val="0"/>
      <w:marRight w:val="0"/>
      <w:marTop w:val="0"/>
      <w:marBottom w:val="0"/>
      <w:divBdr>
        <w:top w:val="none" w:sz="0" w:space="0" w:color="auto"/>
        <w:left w:val="none" w:sz="0" w:space="0" w:color="auto"/>
        <w:bottom w:val="none" w:sz="0" w:space="0" w:color="auto"/>
        <w:right w:val="none" w:sz="0" w:space="0" w:color="auto"/>
      </w:divBdr>
    </w:div>
    <w:div w:id="1812556350">
      <w:bodyDiv w:val="1"/>
      <w:marLeft w:val="0"/>
      <w:marRight w:val="0"/>
      <w:marTop w:val="0"/>
      <w:marBottom w:val="0"/>
      <w:divBdr>
        <w:top w:val="none" w:sz="0" w:space="0" w:color="auto"/>
        <w:left w:val="none" w:sz="0" w:space="0" w:color="auto"/>
        <w:bottom w:val="none" w:sz="0" w:space="0" w:color="auto"/>
        <w:right w:val="none" w:sz="0" w:space="0" w:color="auto"/>
      </w:divBdr>
    </w:div>
    <w:div w:id="1828397069">
      <w:bodyDiv w:val="1"/>
      <w:marLeft w:val="0"/>
      <w:marRight w:val="0"/>
      <w:marTop w:val="0"/>
      <w:marBottom w:val="0"/>
      <w:divBdr>
        <w:top w:val="none" w:sz="0" w:space="0" w:color="auto"/>
        <w:left w:val="none" w:sz="0" w:space="0" w:color="auto"/>
        <w:bottom w:val="none" w:sz="0" w:space="0" w:color="auto"/>
        <w:right w:val="none" w:sz="0" w:space="0" w:color="auto"/>
      </w:divBdr>
    </w:div>
    <w:div w:id="1830244063">
      <w:bodyDiv w:val="1"/>
      <w:marLeft w:val="0"/>
      <w:marRight w:val="0"/>
      <w:marTop w:val="0"/>
      <w:marBottom w:val="0"/>
      <w:divBdr>
        <w:top w:val="none" w:sz="0" w:space="0" w:color="auto"/>
        <w:left w:val="none" w:sz="0" w:space="0" w:color="auto"/>
        <w:bottom w:val="none" w:sz="0" w:space="0" w:color="auto"/>
        <w:right w:val="none" w:sz="0" w:space="0" w:color="auto"/>
      </w:divBdr>
      <w:divsChild>
        <w:div w:id="153108487">
          <w:marLeft w:val="360"/>
          <w:marRight w:val="0"/>
          <w:marTop w:val="200"/>
          <w:marBottom w:val="0"/>
          <w:divBdr>
            <w:top w:val="none" w:sz="0" w:space="0" w:color="auto"/>
            <w:left w:val="none" w:sz="0" w:space="0" w:color="auto"/>
            <w:bottom w:val="none" w:sz="0" w:space="0" w:color="auto"/>
            <w:right w:val="none" w:sz="0" w:space="0" w:color="auto"/>
          </w:divBdr>
        </w:div>
      </w:divsChild>
    </w:div>
    <w:div w:id="1855414683">
      <w:bodyDiv w:val="1"/>
      <w:marLeft w:val="0"/>
      <w:marRight w:val="0"/>
      <w:marTop w:val="0"/>
      <w:marBottom w:val="0"/>
      <w:divBdr>
        <w:top w:val="none" w:sz="0" w:space="0" w:color="auto"/>
        <w:left w:val="none" w:sz="0" w:space="0" w:color="auto"/>
        <w:bottom w:val="none" w:sz="0" w:space="0" w:color="auto"/>
        <w:right w:val="none" w:sz="0" w:space="0" w:color="auto"/>
      </w:divBdr>
    </w:div>
    <w:div w:id="1860191220">
      <w:bodyDiv w:val="1"/>
      <w:marLeft w:val="0"/>
      <w:marRight w:val="0"/>
      <w:marTop w:val="0"/>
      <w:marBottom w:val="0"/>
      <w:divBdr>
        <w:top w:val="none" w:sz="0" w:space="0" w:color="auto"/>
        <w:left w:val="none" w:sz="0" w:space="0" w:color="auto"/>
        <w:bottom w:val="none" w:sz="0" w:space="0" w:color="auto"/>
        <w:right w:val="none" w:sz="0" w:space="0" w:color="auto"/>
      </w:divBdr>
    </w:div>
    <w:div w:id="1863936156">
      <w:bodyDiv w:val="1"/>
      <w:marLeft w:val="0"/>
      <w:marRight w:val="0"/>
      <w:marTop w:val="0"/>
      <w:marBottom w:val="0"/>
      <w:divBdr>
        <w:top w:val="none" w:sz="0" w:space="0" w:color="auto"/>
        <w:left w:val="none" w:sz="0" w:space="0" w:color="auto"/>
        <w:bottom w:val="none" w:sz="0" w:space="0" w:color="auto"/>
        <w:right w:val="none" w:sz="0" w:space="0" w:color="auto"/>
      </w:divBdr>
      <w:divsChild>
        <w:div w:id="1351180094">
          <w:marLeft w:val="360"/>
          <w:marRight w:val="0"/>
          <w:marTop w:val="200"/>
          <w:marBottom w:val="0"/>
          <w:divBdr>
            <w:top w:val="none" w:sz="0" w:space="0" w:color="auto"/>
            <w:left w:val="none" w:sz="0" w:space="0" w:color="auto"/>
            <w:bottom w:val="none" w:sz="0" w:space="0" w:color="auto"/>
            <w:right w:val="none" w:sz="0" w:space="0" w:color="auto"/>
          </w:divBdr>
        </w:div>
      </w:divsChild>
    </w:div>
    <w:div w:id="1875576506">
      <w:bodyDiv w:val="1"/>
      <w:marLeft w:val="0"/>
      <w:marRight w:val="0"/>
      <w:marTop w:val="0"/>
      <w:marBottom w:val="0"/>
      <w:divBdr>
        <w:top w:val="none" w:sz="0" w:space="0" w:color="auto"/>
        <w:left w:val="none" w:sz="0" w:space="0" w:color="auto"/>
        <w:bottom w:val="none" w:sz="0" w:space="0" w:color="auto"/>
        <w:right w:val="none" w:sz="0" w:space="0" w:color="auto"/>
      </w:divBdr>
    </w:div>
    <w:div w:id="1878274503">
      <w:bodyDiv w:val="1"/>
      <w:marLeft w:val="0"/>
      <w:marRight w:val="0"/>
      <w:marTop w:val="0"/>
      <w:marBottom w:val="0"/>
      <w:divBdr>
        <w:top w:val="none" w:sz="0" w:space="0" w:color="auto"/>
        <w:left w:val="none" w:sz="0" w:space="0" w:color="auto"/>
        <w:bottom w:val="none" w:sz="0" w:space="0" w:color="auto"/>
        <w:right w:val="none" w:sz="0" w:space="0" w:color="auto"/>
      </w:divBdr>
    </w:div>
    <w:div w:id="1887788591">
      <w:bodyDiv w:val="1"/>
      <w:marLeft w:val="0"/>
      <w:marRight w:val="0"/>
      <w:marTop w:val="0"/>
      <w:marBottom w:val="0"/>
      <w:divBdr>
        <w:top w:val="none" w:sz="0" w:space="0" w:color="auto"/>
        <w:left w:val="none" w:sz="0" w:space="0" w:color="auto"/>
        <w:bottom w:val="none" w:sz="0" w:space="0" w:color="auto"/>
        <w:right w:val="none" w:sz="0" w:space="0" w:color="auto"/>
      </w:divBdr>
    </w:div>
    <w:div w:id="1889952605">
      <w:bodyDiv w:val="1"/>
      <w:marLeft w:val="0"/>
      <w:marRight w:val="0"/>
      <w:marTop w:val="0"/>
      <w:marBottom w:val="0"/>
      <w:divBdr>
        <w:top w:val="none" w:sz="0" w:space="0" w:color="auto"/>
        <w:left w:val="none" w:sz="0" w:space="0" w:color="auto"/>
        <w:bottom w:val="none" w:sz="0" w:space="0" w:color="auto"/>
        <w:right w:val="none" w:sz="0" w:space="0" w:color="auto"/>
      </w:divBdr>
    </w:div>
    <w:div w:id="1890872149">
      <w:bodyDiv w:val="1"/>
      <w:marLeft w:val="0"/>
      <w:marRight w:val="0"/>
      <w:marTop w:val="0"/>
      <w:marBottom w:val="0"/>
      <w:divBdr>
        <w:top w:val="none" w:sz="0" w:space="0" w:color="auto"/>
        <w:left w:val="none" w:sz="0" w:space="0" w:color="auto"/>
        <w:bottom w:val="none" w:sz="0" w:space="0" w:color="auto"/>
        <w:right w:val="none" w:sz="0" w:space="0" w:color="auto"/>
      </w:divBdr>
    </w:div>
    <w:div w:id="1902670649">
      <w:bodyDiv w:val="1"/>
      <w:marLeft w:val="0"/>
      <w:marRight w:val="0"/>
      <w:marTop w:val="0"/>
      <w:marBottom w:val="0"/>
      <w:divBdr>
        <w:top w:val="none" w:sz="0" w:space="0" w:color="auto"/>
        <w:left w:val="none" w:sz="0" w:space="0" w:color="auto"/>
        <w:bottom w:val="none" w:sz="0" w:space="0" w:color="auto"/>
        <w:right w:val="none" w:sz="0" w:space="0" w:color="auto"/>
      </w:divBdr>
    </w:div>
    <w:div w:id="1908343955">
      <w:bodyDiv w:val="1"/>
      <w:marLeft w:val="0"/>
      <w:marRight w:val="0"/>
      <w:marTop w:val="0"/>
      <w:marBottom w:val="0"/>
      <w:divBdr>
        <w:top w:val="none" w:sz="0" w:space="0" w:color="auto"/>
        <w:left w:val="none" w:sz="0" w:space="0" w:color="auto"/>
        <w:bottom w:val="none" w:sz="0" w:space="0" w:color="auto"/>
        <w:right w:val="none" w:sz="0" w:space="0" w:color="auto"/>
      </w:divBdr>
      <w:divsChild>
        <w:div w:id="1449010221">
          <w:marLeft w:val="360"/>
          <w:marRight w:val="0"/>
          <w:marTop w:val="200"/>
          <w:marBottom w:val="0"/>
          <w:divBdr>
            <w:top w:val="none" w:sz="0" w:space="0" w:color="auto"/>
            <w:left w:val="none" w:sz="0" w:space="0" w:color="auto"/>
            <w:bottom w:val="none" w:sz="0" w:space="0" w:color="auto"/>
            <w:right w:val="none" w:sz="0" w:space="0" w:color="auto"/>
          </w:divBdr>
        </w:div>
      </w:divsChild>
    </w:div>
    <w:div w:id="1926962489">
      <w:bodyDiv w:val="1"/>
      <w:marLeft w:val="0"/>
      <w:marRight w:val="0"/>
      <w:marTop w:val="0"/>
      <w:marBottom w:val="0"/>
      <w:divBdr>
        <w:top w:val="none" w:sz="0" w:space="0" w:color="auto"/>
        <w:left w:val="none" w:sz="0" w:space="0" w:color="auto"/>
        <w:bottom w:val="none" w:sz="0" w:space="0" w:color="auto"/>
        <w:right w:val="none" w:sz="0" w:space="0" w:color="auto"/>
      </w:divBdr>
      <w:divsChild>
        <w:div w:id="1086921372">
          <w:marLeft w:val="547"/>
          <w:marRight w:val="0"/>
          <w:marTop w:val="106"/>
          <w:marBottom w:val="0"/>
          <w:divBdr>
            <w:top w:val="none" w:sz="0" w:space="0" w:color="auto"/>
            <w:left w:val="none" w:sz="0" w:space="0" w:color="auto"/>
            <w:bottom w:val="none" w:sz="0" w:space="0" w:color="auto"/>
            <w:right w:val="none" w:sz="0" w:space="0" w:color="auto"/>
          </w:divBdr>
        </w:div>
      </w:divsChild>
    </w:div>
    <w:div w:id="1930112695">
      <w:bodyDiv w:val="1"/>
      <w:marLeft w:val="0"/>
      <w:marRight w:val="0"/>
      <w:marTop w:val="0"/>
      <w:marBottom w:val="0"/>
      <w:divBdr>
        <w:top w:val="none" w:sz="0" w:space="0" w:color="auto"/>
        <w:left w:val="none" w:sz="0" w:space="0" w:color="auto"/>
        <w:bottom w:val="none" w:sz="0" w:space="0" w:color="auto"/>
        <w:right w:val="none" w:sz="0" w:space="0" w:color="auto"/>
      </w:divBdr>
      <w:divsChild>
        <w:div w:id="1735157113">
          <w:marLeft w:val="547"/>
          <w:marRight w:val="0"/>
          <w:marTop w:val="106"/>
          <w:marBottom w:val="0"/>
          <w:divBdr>
            <w:top w:val="none" w:sz="0" w:space="0" w:color="auto"/>
            <w:left w:val="none" w:sz="0" w:space="0" w:color="auto"/>
            <w:bottom w:val="none" w:sz="0" w:space="0" w:color="auto"/>
            <w:right w:val="none" w:sz="0" w:space="0" w:color="auto"/>
          </w:divBdr>
        </w:div>
      </w:divsChild>
    </w:div>
    <w:div w:id="1931810922">
      <w:bodyDiv w:val="1"/>
      <w:marLeft w:val="0"/>
      <w:marRight w:val="0"/>
      <w:marTop w:val="0"/>
      <w:marBottom w:val="0"/>
      <w:divBdr>
        <w:top w:val="none" w:sz="0" w:space="0" w:color="auto"/>
        <w:left w:val="none" w:sz="0" w:space="0" w:color="auto"/>
        <w:bottom w:val="none" w:sz="0" w:space="0" w:color="auto"/>
        <w:right w:val="none" w:sz="0" w:space="0" w:color="auto"/>
      </w:divBdr>
    </w:div>
    <w:div w:id="1942643132">
      <w:bodyDiv w:val="1"/>
      <w:marLeft w:val="0"/>
      <w:marRight w:val="0"/>
      <w:marTop w:val="0"/>
      <w:marBottom w:val="0"/>
      <w:divBdr>
        <w:top w:val="none" w:sz="0" w:space="0" w:color="auto"/>
        <w:left w:val="none" w:sz="0" w:space="0" w:color="auto"/>
        <w:bottom w:val="none" w:sz="0" w:space="0" w:color="auto"/>
        <w:right w:val="none" w:sz="0" w:space="0" w:color="auto"/>
      </w:divBdr>
      <w:divsChild>
        <w:div w:id="1891454404">
          <w:marLeft w:val="360"/>
          <w:marRight w:val="0"/>
          <w:marTop w:val="200"/>
          <w:marBottom w:val="0"/>
          <w:divBdr>
            <w:top w:val="none" w:sz="0" w:space="0" w:color="auto"/>
            <w:left w:val="none" w:sz="0" w:space="0" w:color="auto"/>
            <w:bottom w:val="none" w:sz="0" w:space="0" w:color="auto"/>
            <w:right w:val="none" w:sz="0" w:space="0" w:color="auto"/>
          </w:divBdr>
        </w:div>
      </w:divsChild>
    </w:div>
    <w:div w:id="1969776819">
      <w:bodyDiv w:val="1"/>
      <w:marLeft w:val="0"/>
      <w:marRight w:val="0"/>
      <w:marTop w:val="0"/>
      <w:marBottom w:val="0"/>
      <w:divBdr>
        <w:top w:val="none" w:sz="0" w:space="0" w:color="auto"/>
        <w:left w:val="none" w:sz="0" w:space="0" w:color="auto"/>
        <w:bottom w:val="none" w:sz="0" w:space="0" w:color="auto"/>
        <w:right w:val="none" w:sz="0" w:space="0" w:color="auto"/>
      </w:divBdr>
      <w:divsChild>
        <w:div w:id="1096904024">
          <w:marLeft w:val="547"/>
          <w:marRight w:val="0"/>
          <w:marTop w:val="106"/>
          <w:marBottom w:val="0"/>
          <w:divBdr>
            <w:top w:val="none" w:sz="0" w:space="0" w:color="auto"/>
            <w:left w:val="none" w:sz="0" w:space="0" w:color="auto"/>
            <w:bottom w:val="none" w:sz="0" w:space="0" w:color="auto"/>
            <w:right w:val="none" w:sz="0" w:space="0" w:color="auto"/>
          </w:divBdr>
        </w:div>
      </w:divsChild>
    </w:div>
    <w:div w:id="1981225660">
      <w:bodyDiv w:val="1"/>
      <w:marLeft w:val="0"/>
      <w:marRight w:val="0"/>
      <w:marTop w:val="0"/>
      <w:marBottom w:val="0"/>
      <w:divBdr>
        <w:top w:val="none" w:sz="0" w:space="0" w:color="auto"/>
        <w:left w:val="none" w:sz="0" w:space="0" w:color="auto"/>
        <w:bottom w:val="none" w:sz="0" w:space="0" w:color="auto"/>
        <w:right w:val="none" w:sz="0" w:space="0" w:color="auto"/>
      </w:divBdr>
    </w:div>
    <w:div w:id="1993170513">
      <w:bodyDiv w:val="1"/>
      <w:marLeft w:val="0"/>
      <w:marRight w:val="0"/>
      <w:marTop w:val="0"/>
      <w:marBottom w:val="0"/>
      <w:divBdr>
        <w:top w:val="none" w:sz="0" w:space="0" w:color="auto"/>
        <w:left w:val="none" w:sz="0" w:space="0" w:color="auto"/>
        <w:bottom w:val="none" w:sz="0" w:space="0" w:color="auto"/>
        <w:right w:val="none" w:sz="0" w:space="0" w:color="auto"/>
      </w:divBdr>
      <w:divsChild>
        <w:div w:id="1521235017">
          <w:marLeft w:val="547"/>
          <w:marRight w:val="0"/>
          <w:marTop w:val="106"/>
          <w:marBottom w:val="0"/>
          <w:divBdr>
            <w:top w:val="none" w:sz="0" w:space="0" w:color="auto"/>
            <w:left w:val="none" w:sz="0" w:space="0" w:color="auto"/>
            <w:bottom w:val="none" w:sz="0" w:space="0" w:color="auto"/>
            <w:right w:val="none" w:sz="0" w:space="0" w:color="auto"/>
          </w:divBdr>
        </w:div>
      </w:divsChild>
    </w:div>
    <w:div w:id="1999267781">
      <w:bodyDiv w:val="1"/>
      <w:marLeft w:val="0"/>
      <w:marRight w:val="0"/>
      <w:marTop w:val="0"/>
      <w:marBottom w:val="0"/>
      <w:divBdr>
        <w:top w:val="none" w:sz="0" w:space="0" w:color="auto"/>
        <w:left w:val="none" w:sz="0" w:space="0" w:color="auto"/>
        <w:bottom w:val="none" w:sz="0" w:space="0" w:color="auto"/>
        <w:right w:val="none" w:sz="0" w:space="0" w:color="auto"/>
      </w:divBdr>
    </w:div>
    <w:div w:id="2003463241">
      <w:bodyDiv w:val="1"/>
      <w:marLeft w:val="0"/>
      <w:marRight w:val="0"/>
      <w:marTop w:val="0"/>
      <w:marBottom w:val="0"/>
      <w:divBdr>
        <w:top w:val="none" w:sz="0" w:space="0" w:color="auto"/>
        <w:left w:val="none" w:sz="0" w:space="0" w:color="auto"/>
        <w:bottom w:val="none" w:sz="0" w:space="0" w:color="auto"/>
        <w:right w:val="none" w:sz="0" w:space="0" w:color="auto"/>
      </w:divBdr>
    </w:div>
    <w:div w:id="2032757530">
      <w:bodyDiv w:val="1"/>
      <w:marLeft w:val="0"/>
      <w:marRight w:val="0"/>
      <w:marTop w:val="0"/>
      <w:marBottom w:val="0"/>
      <w:divBdr>
        <w:top w:val="none" w:sz="0" w:space="0" w:color="auto"/>
        <w:left w:val="none" w:sz="0" w:space="0" w:color="auto"/>
        <w:bottom w:val="none" w:sz="0" w:space="0" w:color="auto"/>
        <w:right w:val="none" w:sz="0" w:space="0" w:color="auto"/>
      </w:divBdr>
    </w:div>
    <w:div w:id="2033919066">
      <w:bodyDiv w:val="1"/>
      <w:marLeft w:val="0"/>
      <w:marRight w:val="0"/>
      <w:marTop w:val="0"/>
      <w:marBottom w:val="0"/>
      <w:divBdr>
        <w:top w:val="none" w:sz="0" w:space="0" w:color="auto"/>
        <w:left w:val="none" w:sz="0" w:space="0" w:color="auto"/>
        <w:bottom w:val="none" w:sz="0" w:space="0" w:color="auto"/>
        <w:right w:val="none" w:sz="0" w:space="0" w:color="auto"/>
      </w:divBdr>
    </w:div>
    <w:div w:id="2051882377">
      <w:bodyDiv w:val="1"/>
      <w:marLeft w:val="0"/>
      <w:marRight w:val="0"/>
      <w:marTop w:val="0"/>
      <w:marBottom w:val="0"/>
      <w:divBdr>
        <w:top w:val="none" w:sz="0" w:space="0" w:color="auto"/>
        <w:left w:val="none" w:sz="0" w:space="0" w:color="auto"/>
        <w:bottom w:val="none" w:sz="0" w:space="0" w:color="auto"/>
        <w:right w:val="none" w:sz="0" w:space="0" w:color="auto"/>
      </w:divBdr>
      <w:divsChild>
        <w:div w:id="1319385659">
          <w:marLeft w:val="547"/>
          <w:marRight w:val="0"/>
          <w:marTop w:val="0"/>
          <w:marBottom w:val="0"/>
          <w:divBdr>
            <w:top w:val="none" w:sz="0" w:space="0" w:color="auto"/>
            <w:left w:val="none" w:sz="0" w:space="0" w:color="auto"/>
            <w:bottom w:val="none" w:sz="0" w:space="0" w:color="auto"/>
            <w:right w:val="none" w:sz="0" w:space="0" w:color="auto"/>
          </w:divBdr>
        </w:div>
      </w:divsChild>
    </w:div>
    <w:div w:id="2052338116">
      <w:bodyDiv w:val="1"/>
      <w:marLeft w:val="0"/>
      <w:marRight w:val="0"/>
      <w:marTop w:val="0"/>
      <w:marBottom w:val="0"/>
      <w:divBdr>
        <w:top w:val="none" w:sz="0" w:space="0" w:color="auto"/>
        <w:left w:val="none" w:sz="0" w:space="0" w:color="auto"/>
        <w:bottom w:val="none" w:sz="0" w:space="0" w:color="auto"/>
        <w:right w:val="none" w:sz="0" w:space="0" w:color="auto"/>
      </w:divBdr>
    </w:div>
    <w:div w:id="2056926478">
      <w:bodyDiv w:val="1"/>
      <w:marLeft w:val="0"/>
      <w:marRight w:val="0"/>
      <w:marTop w:val="0"/>
      <w:marBottom w:val="0"/>
      <w:divBdr>
        <w:top w:val="none" w:sz="0" w:space="0" w:color="auto"/>
        <w:left w:val="none" w:sz="0" w:space="0" w:color="auto"/>
        <w:bottom w:val="none" w:sz="0" w:space="0" w:color="auto"/>
        <w:right w:val="none" w:sz="0" w:space="0" w:color="auto"/>
      </w:divBdr>
      <w:divsChild>
        <w:div w:id="1965038397">
          <w:marLeft w:val="360"/>
          <w:marRight w:val="0"/>
          <w:marTop w:val="200"/>
          <w:marBottom w:val="0"/>
          <w:divBdr>
            <w:top w:val="none" w:sz="0" w:space="0" w:color="auto"/>
            <w:left w:val="none" w:sz="0" w:space="0" w:color="auto"/>
            <w:bottom w:val="none" w:sz="0" w:space="0" w:color="auto"/>
            <w:right w:val="none" w:sz="0" w:space="0" w:color="auto"/>
          </w:divBdr>
        </w:div>
      </w:divsChild>
    </w:div>
    <w:div w:id="2057313281">
      <w:bodyDiv w:val="1"/>
      <w:marLeft w:val="0"/>
      <w:marRight w:val="0"/>
      <w:marTop w:val="0"/>
      <w:marBottom w:val="0"/>
      <w:divBdr>
        <w:top w:val="none" w:sz="0" w:space="0" w:color="auto"/>
        <w:left w:val="none" w:sz="0" w:space="0" w:color="auto"/>
        <w:bottom w:val="none" w:sz="0" w:space="0" w:color="auto"/>
        <w:right w:val="none" w:sz="0" w:space="0" w:color="auto"/>
      </w:divBdr>
    </w:div>
    <w:div w:id="2077891788">
      <w:bodyDiv w:val="1"/>
      <w:marLeft w:val="0"/>
      <w:marRight w:val="0"/>
      <w:marTop w:val="0"/>
      <w:marBottom w:val="0"/>
      <w:divBdr>
        <w:top w:val="none" w:sz="0" w:space="0" w:color="auto"/>
        <w:left w:val="none" w:sz="0" w:space="0" w:color="auto"/>
        <w:bottom w:val="none" w:sz="0" w:space="0" w:color="auto"/>
        <w:right w:val="none" w:sz="0" w:space="0" w:color="auto"/>
      </w:divBdr>
    </w:div>
    <w:div w:id="2083485321">
      <w:bodyDiv w:val="1"/>
      <w:marLeft w:val="0"/>
      <w:marRight w:val="0"/>
      <w:marTop w:val="0"/>
      <w:marBottom w:val="0"/>
      <w:divBdr>
        <w:top w:val="none" w:sz="0" w:space="0" w:color="auto"/>
        <w:left w:val="none" w:sz="0" w:space="0" w:color="auto"/>
        <w:bottom w:val="none" w:sz="0" w:space="0" w:color="auto"/>
        <w:right w:val="none" w:sz="0" w:space="0" w:color="auto"/>
      </w:divBdr>
    </w:div>
    <w:div w:id="2089382024">
      <w:bodyDiv w:val="1"/>
      <w:marLeft w:val="0"/>
      <w:marRight w:val="0"/>
      <w:marTop w:val="0"/>
      <w:marBottom w:val="0"/>
      <w:divBdr>
        <w:top w:val="none" w:sz="0" w:space="0" w:color="auto"/>
        <w:left w:val="none" w:sz="0" w:space="0" w:color="auto"/>
        <w:bottom w:val="none" w:sz="0" w:space="0" w:color="auto"/>
        <w:right w:val="none" w:sz="0" w:space="0" w:color="auto"/>
      </w:divBdr>
      <w:divsChild>
        <w:div w:id="69499574">
          <w:marLeft w:val="547"/>
          <w:marRight w:val="0"/>
          <w:marTop w:val="0"/>
          <w:marBottom w:val="0"/>
          <w:divBdr>
            <w:top w:val="none" w:sz="0" w:space="0" w:color="auto"/>
            <w:left w:val="none" w:sz="0" w:space="0" w:color="auto"/>
            <w:bottom w:val="none" w:sz="0" w:space="0" w:color="auto"/>
            <w:right w:val="none" w:sz="0" w:space="0" w:color="auto"/>
          </w:divBdr>
        </w:div>
        <w:div w:id="472142042">
          <w:marLeft w:val="547"/>
          <w:marRight w:val="0"/>
          <w:marTop w:val="0"/>
          <w:marBottom w:val="0"/>
          <w:divBdr>
            <w:top w:val="none" w:sz="0" w:space="0" w:color="auto"/>
            <w:left w:val="none" w:sz="0" w:space="0" w:color="auto"/>
            <w:bottom w:val="none" w:sz="0" w:space="0" w:color="auto"/>
            <w:right w:val="none" w:sz="0" w:space="0" w:color="auto"/>
          </w:divBdr>
        </w:div>
        <w:div w:id="665059354">
          <w:marLeft w:val="547"/>
          <w:marRight w:val="0"/>
          <w:marTop w:val="0"/>
          <w:marBottom w:val="0"/>
          <w:divBdr>
            <w:top w:val="none" w:sz="0" w:space="0" w:color="auto"/>
            <w:left w:val="none" w:sz="0" w:space="0" w:color="auto"/>
            <w:bottom w:val="none" w:sz="0" w:space="0" w:color="auto"/>
            <w:right w:val="none" w:sz="0" w:space="0" w:color="auto"/>
          </w:divBdr>
        </w:div>
        <w:div w:id="926117008">
          <w:marLeft w:val="547"/>
          <w:marRight w:val="0"/>
          <w:marTop w:val="0"/>
          <w:marBottom w:val="0"/>
          <w:divBdr>
            <w:top w:val="none" w:sz="0" w:space="0" w:color="auto"/>
            <w:left w:val="none" w:sz="0" w:space="0" w:color="auto"/>
            <w:bottom w:val="none" w:sz="0" w:space="0" w:color="auto"/>
            <w:right w:val="none" w:sz="0" w:space="0" w:color="auto"/>
          </w:divBdr>
        </w:div>
        <w:div w:id="1368799442">
          <w:marLeft w:val="547"/>
          <w:marRight w:val="0"/>
          <w:marTop w:val="0"/>
          <w:marBottom w:val="0"/>
          <w:divBdr>
            <w:top w:val="none" w:sz="0" w:space="0" w:color="auto"/>
            <w:left w:val="none" w:sz="0" w:space="0" w:color="auto"/>
            <w:bottom w:val="none" w:sz="0" w:space="0" w:color="auto"/>
            <w:right w:val="none" w:sz="0" w:space="0" w:color="auto"/>
          </w:divBdr>
        </w:div>
        <w:div w:id="1467352292">
          <w:marLeft w:val="547"/>
          <w:marRight w:val="0"/>
          <w:marTop w:val="0"/>
          <w:marBottom w:val="0"/>
          <w:divBdr>
            <w:top w:val="none" w:sz="0" w:space="0" w:color="auto"/>
            <w:left w:val="none" w:sz="0" w:space="0" w:color="auto"/>
            <w:bottom w:val="none" w:sz="0" w:space="0" w:color="auto"/>
            <w:right w:val="none" w:sz="0" w:space="0" w:color="auto"/>
          </w:divBdr>
        </w:div>
        <w:div w:id="1887327608">
          <w:marLeft w:val="547"/>
          <w:marRight w:val="0"/>
          <w:marTop w:val="0"/>
          <w:marBottom w:val="0"/>
          <w:divBdr>
            <w:top w:val="none" w:sz="0" w:space="0" w:color="auto"/>
            <w:left w:val="none" w:sz="0" w:space="0" w:color="auto"/>
            <w:bottom w:val="none" w:sz="0" w:space="0" w:color="auto"/>
            <w:right w:val="none" w:sz="0" w:space="0" w:color="auto"/>
          </w:divBdr>
        </w:div>
      </w:divsChild>
    </w:div>
    <w:div w:id="2092237093">
      <w:bodyDiv w:val="1"/>
      <w:marLeft w:val="0"/>
      <w:marRight w:val="0"/>
      <w:marTop w:val="0"/>
      <w:marBottom w:val="0"/>
      <w:divBdr>
        <w:top w:val="none" w:sz="0" w:space="0" w:color="auto"/>
        <w:left w:val="none" w:sz="0" w:space="0" w:color="auto"/>
        <w:bottom w:val="none" w:sz="0" w:space="0" w:color="auto"/>
        <w:right w:val="none" w:sz="0" w:space="0" w:color="auto"/>
      </w:divBdr>
      <w:divsChild>
        <w:div w:id="1932080248">
          <w:marLeft w:val="547"/>
          <w:marRight w:val="0"/>
          <w:marTop w:val="106"/>
          <w:marBottom w:val="0"/>
          <w:divBdr>
            <w:top w:val="none" w:sz="0" w:space="0" w:color="auto"/>
            <w:left w:val="none" w:sz="0" w:space="0" w:color="auto"/>
            <w:bottom w:val="none" w:sz="0" w:space="0" w:color="auto"/>
            <w:right w:val="none" w:sz="0" w:space="0" w:color="auto"/>
          </w:divBdr>
        </w:div>
      </w:divsChild>
    </w:div>
    <w:div w:id="2114089608">
      <w:bodyDiv w:val="1"/>
      <w:marLeft w:val="0"/>
      <w:marRight w:val="0"/>
      <w:marTop w:val="0"/>
      <w:marBottom w:val="0"/>
      <w:divBdr>
        <w:top w:val="none" w:sz="0" w:space="0" w:color="auto"/>
        <w:left w:val="none" w:sz="0" w:space="0" w:color="auto"/>
        <w:bottom w:val="none" w:sz="0" w:space="0" w:color="auto"/>
        <w:right w:val="none" w:sz="0" w:space="0" w:color="auto"/>
      </w:divBdr>
      <w:divsChild>
        <w:div w:id="400063026">
          <w:marLeft w:val="547"/>
          <w:marRight w:val="0"/>
          <w:marTop w:val="106"/>
          <w:marBottom w:val="0"/>
          <w:divBdr>
            <w:top w:val="none" w:sz="0" w:space="0" w:color="auto"/>
            <w:left w:val="none" w:sz="0" w:space="0" w:color="auto"/>
            <w:bottom w:val="none" w:sz="0" w:space="0" w:color="auto"/>
            <w:right w:val="none" w:sz="0" w:space="0" w:color="auto"/>
          </w:divBdr>
        </w:div>
      </w:divsChild>
    </w:div>
    <w:div w:id="2124768687">
      <w:bodyDiv w:val="1"/>
      <w:marLeft w:val="0"/>
      <w:marRight w:val="0"/>
      <w:marTop w:val="0"/>
      <w:marBottom w:val="0"/>
      <w:divBdr>
        <w:top w:val="none" w:sz="0" w:space="0" w:color="auto"/>
        <w:left w:val="none" w:sz="0" w:space="0" w:color="auto"/>
        <w:bottom w:val="none" w:sz="0" w:space="0" w:color="auto"/>
        <w:right w:val="none" w:sz="0" w:space="0" w:color="auto"/>
      </w:divBdr>
    </w:div>
    <w:div w:id="2129620676">
      <w:bodyDiv w:val="1"/>
      <w:marLeft w:val="0"/>
      <w:marRight w:val="0"/>
      <w:marTop w:val="0"/>
      <w:marBottom w:val="0"/>
      <w:divBdr>
        <w:top w:val="none" w:sz="0" w:space="0" w:color="auto"/>
        <w:left w:val="none" w:sz="0" w:space="0" w:color="auto"/>
        <w:bottom w:val="none" w:sz="0" w:space="0" w:color="auto"/>
        <w:right w:val="none" w:sz="0" w:space="0" w:color="auto"/>
      </w:divBdr>
    </w:div>
    <w:div w:id="2137602986">
      <w:bodyDiv w:val="1"/>
      <w:marLeft w:val="0"/>
      <w:marRight w:val="0"/>
      <w:marTop w:val="0"/>
      <w:marBottom w:val="0"/>
      <w:divBdr>
        <w:top w:val="none" w:sz="0" w:space="0" w:color="auto"/>
        <w:left w:val="none" w:sz="0" w:space="0" w:color="auto"/>
        <w:bottom w:val="none" w:sz="0" w:space="0" w:color="auto"/>
        <w:right w:val="none" w:sz="0" w:space="0" w:color="auto"/>
      </w:divBdr>
      <w:divsChild>
        <w:div w:id="1567102854">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Major</a:t>
            </a:r>
            <a:r>
              <a:rPr lang="en-GB" baseline="0"/>
              <a:t> Works Expenditure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82F-4A61-91DE-37CC8A8A9C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82F-4A61-91DE-37CC8A8A9C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82F-4A61-91DE-37CC8A8A9C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82F-4A61-91DE-37CC8A8A9CDA}"/>
              </c:ext>
            </c:extLst>
          </c:dPt>
          <c:dLbls>
            <c:dLbl>
              <c:idx val="0"/>
              <c:layout>
                <c:manualLayout>
                  <c:x val="1.528652668416448E-2"/>
                  <c:y val="-1.613808690580344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F-4A61-91DE-37CC8A8A9CDA}"/>
                </c:ext>
              </c:extLst>
            </c:dLbl>
            <c:dLbl>
              <c:idx val="1"/>
              <c:layout>
                <c:manualLayout>
                  <c:x val="9.4640748031496066E-2"/>
                  <c:y val="-3.133493729950422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2F-4A61-91DE-37CC8A8A9CDA}"/>
                </c:ext>
              </c:extLst>
            </c:dLbl>
            <c:dLbl>
              <c:idx val="2"/>
              <c:layout>
                <c:manualLayout>
                  <c:x val="-2.8117672790901136E-2"/>
                  <c:y val="-1.702646544181975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F-4A61-91DE-37CC8A8A9CDA}"/>
                </c:ext>
              </c:extLst>
            </c:dLbl>
            <c:dLbl>
              <c:idx val="3"/>
              <c:layout>
                <c:manualLayout>
                  <c:x val="6.8191163604548926E-3"/>
                  <c:y val="-4.687882764654418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82F-4A61-91DE-37CC8A8A9C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'HRABP Tables for Richard'!$B$47:$B$50</c:f>
              <c:strCache>
                <c:ptCount val="4"/>
                <c:pt idx="0">
                  <c:v>Safety and compliance</c:v>
                </c:pt>
                <c:pt idx="1">
                  <c:v>Capital works</c:v>
                </c:pt>
                <c:pt idx="2">
                  <c:v>Energy efficiency</c:v>
                </c:pt>
                <c:pt idx="3">
                  <c:v>Disabled Adaptations</c:v>
                </c:pt>
              </c:strCache>
            </c:strRef>
          </c:cat>
          <c:val>
            <c:numRef>
              <c:f>'HRABP Tables for Richard'!$C$47:$C$50</c:f>
              <c:numCache>
                <c:formatCode>0%</c:formatCode>
                <c:ptCount val="4"/>
                <c:pt idx="0">
                  <c:v>0.05</c:v>
                </c:pt>
                <c:pt idx="1">
                  <c:v>0.77</c:v>
                </c:pt>
                <c:pt idx="2">
                  <c:v>0.16</c:v>
                </c:pt>
                <c:pt idx="3">
                  <c:v>0.02</c:v>
                </c:pt>
              </c:numCache>
            </c:numRef>
          </c:val>
          <c:extLst>
            <c:ext xmlns:c16="http://schemas.microsoft.com/office/drawing/2014/chart" uri="{C3380CC4-5D6E-409C-BE32-E72D297353CC}">
              <c16:uniqueId val="{00000008-182F-4A61-91DE-37CC8A8A9C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cc">
      <a:dk1>
        <a:srgbClr val="000000"/>
      </a:dk1>
      <a:lt1>
        <a:srgbClr val="FFFFFF"/>
      </a:lt1>
      <a:dk2>
        <a:srgbClr val="373266"/>
      </a:dk2>
      <a:lt2>
        <a:srgbClr val="FFFFFF"/>
      </a:lt2>
      <a:accent1>
        <a:srgbClr val="0070C0"/>
      </a:accent1>
      <a:accent2>
        <a:srgbClr val="FFC000"/>
      </a:accent2>
      <a:accent3>
        <a:srgbClr val="0070C0"/>
      </a:accent3>
      <a:accent4>
        <a:srgbClr val="BD8F00"/>
      </a:accent4>
      <a:accent5>
        <a:srgbClr val="FFFF00"/>
      </a:accent5>
      <a:accent6>
        <a:srgbClr val="10CCA4"/>
      </a:accent6>
      <a:hlink>
        <a:srgbClr val="EA5355"/>
      </a:hlink>
      <a:folHlink>
        <a:srgbClr val="373266"/>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ustom 1">
    <a:dk1>
      <a:sysClr val="windowText" lastClr="000000"/>
    </a:dk1>
    <a:lt1>
      <a:sysClr val="window" lastClr="FFFFFF"/>
    </a:lt1>
    <a:dk2>
      <a:srgbClr val="0E2841"/>
    </a:dk2>
    <a:lt2>
      <a:srgbClr val="E8E8E8"/>
    </a:lt2>
    <a:accent1>
      <a:srgbClr val="0070C0"/>
    </a:accent1>
    <a:accent2>
      <a:srgbClr val="FFC000"/>
    </a:accent2>
    <a:accent3>
      <a:srgbClr val="00B050"/>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0326-70A4-4202-800E-8C5011B9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5328</Words>
  <Characters>30372</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Trivallis Action Plan</vt:lpstr>
    </vt:vector>
  </TitlesOfParts>
  <Company/>
  <LinksUpToDate>false</LinksUpToDate>
  <CharactersWithSpaces>35629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Trivallis Action Plan</dc:title>
  <dc:subject/>
  <dc:creator>Kieran  Colgan</dc:creator>
  <cp:keywords/>
  <dc:description/>
  <cp:lastModifiedBy>REYESLAO Celeste</cp:lastModifiedBy>
  <cp:revision>2</cp:revision>
  <cp:lastPrinted>2017-02-02T11:03:00Z</cp:lastPrinted>
  <dcterms:created xsi:type="dcterms:W3CDTF">2024-11-19T18:25:00Z</dcterms:created>
  <dcterms:modified xsi:type="dcterms:W3CDTF">2024-11-19T18:25:00Z</dcterms:modified>
</cp:coreProperties>
</file>